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330EE">
      <w:pPr>
        <w:spacing w:line="360" w:lineRule="auto"/>
        <w:jc w:val="center"/>
        <w:rPr>
          <w:rFonts w:ascii="长城小标宋体" w:hAnsi="仿宋" w:eastAsia="长城小标宋体" w:cs="长城小标宋体"/>
          <w:bCs/>
          <w:sz w:val="44"/>
          <w:szCs w:val="44"/>
        </w:rPr>
      </w:pPr>
      <w:r>
        <w:rPr>
          <w:rFonts w:hint="eastAsia" w:ascii="长城小标宋体" w:hAnsi="仿宋" w:eastAsia="长城小标宋体" w:cs="长城小标宋体"/>
          <w:bCs/>
          <w:sz w:val="44"/>
          <w:szCs w:val="44"/>
        </w:rPr>
        <w:t>《血小板配合性输注的献血者资料库规范》</w:t>
      </w:r>
    </w:p>
    <w:p w14:paraId="2D8A5327">
      <w:pPr>
        <w:spacing w:line="360" w:lineRule="auto"/>
        <w:jc w:val="center"/>
        <w:rPr>
          <w:rFonts w:ascii="黑体" w:hAnsi="宋体" w:eastAsia="黑体" w:cs="Courier New"/>
          <w:sz w:val="28"/>
          <w:szCs w:val="32"/>
        </w:rPr>
      </w:pPr>
      <w:r>
        <w:rPr>
          <w:rFonts w:hint="eastAsia" w:ascii="长城小标宋体" w:hAnsi="仿宋" w:eastAsia="长城小标宋体" w:cs="长城小标宋体"/>
          <w:bCs/>
          <w:sz w:val="44"/>
          <w:szCs w:val="44"/>
        </w:rPr>
        <w:t>编制说明</w:t>
      </w:r>
    </w:p>
    <w:p w14:paraId="430E3C5D">
      <w:pPr>
        <w:spacing w:line="360" w:lineRule="auto"/>
        <w:rPr>
          <w:rFonts w:ascii="黑体" w:hAnsi="宋体" w:eastAsia="黑体" w:cs="Courier New"/>
          <w:sz w:val="28"/>
          <w:szCs w:val="32"/>
        </w:rPr>
      </w:pPr>
    </w:p>
    <w:p w14:paraId="0188C383">
      <w:pPr>
        <w:numPr>
          <w:ilvl w:val="0"/>
          <w:numId w:val="1"/>
        </w:numPr>
        <w:spacing w:line="360" w:lineRule="auto"/>
        <w:rPr>
          <w:rFonts w:ascii="黑体" w:hAnsi="宋体" w:eastAsia="黑体"/>
          <w:sz w:val="28"/>
          <w:szCs w:val="28"/>
        </w:rPr>
      </w:pPr>
      <w:r>
        <w:rPr>
          <w:rFonts w:hint="eastAsia" w:ascii="黑体" w:hAnsi="宋体" w:eastAsia="黑体"/>
          <w:sz w:val="28"/>
          <w:szCs w:val="28"/>
        </w:rPr>
        <w:t>任务来源与项目编号、各起草单位和起草人承担的工作、起草过程等</w:t>
      </w:r>
    </w:p>
    <w:p w14:paraId="0C97F09D">
      <w:pPr>
        <w:spacing w:line="360" w:lineRule="auto"/>
        <w:ind w:firstLine="560" w:firstLineChars="200"/>
        <w:rPr>
          <w:rFonts w:ascii="宋体" w:hAnsi="宋体" w:cs="Courier New"/>
          <w:sz w:val="28"/>
          <w:szCs w:val="28"/>
        </w:rPr>
      </w:pPr>
      <w:r>
        <w:rPr>
          <w:rFonts w:hint="eastAsia" w:ascii="宋体" w:hAnsi="宋体" w:cs="Courier New"/>
          <w:sz w:val="28"/>
          <w:szCs w:val="28"/>
        </w:rPr>
        <w:t>团体标准《血小板配合性输注的献血者资料库规范》（</w:t>
      </w:r>
      <w:r>
        <w:rPr>
          <w:rFonts w:ascii="宋体" w:hAnsi="宋体" w:cs="Courier New"/>
          <w:sz w:val="28"/>
          <w:szCs w:val="28"/>
        </w:rPr>
        <w:t>T/CSBT 010—2021</w:t>
      </w:r>
      <w:r>
        <w:rPr>
          <w:rFonts w:hint="eastAsia" w:ascii="宋体" w:hAnsi="宋体" w:cs="Courier New"/>
          <w:sz w:val="28"/>
          <w:szCs w:val="28"/>
        </w:rPr>
        <w:t>）</w:t>
      </w:r>
      <w:r>
        <w:rPr>
          <w:rFonts w:hint="eastAsia" w:ascii="宋体" w:hAnsi="宋体" w:cs="Courier New"/>
          <w:sz w:val="28"/>
          <w:szCs w:val="28"/>
          <w:lang w:val="en-US" w:eastAsia="zh-CN"/>
        </w:rPr>
        <w:t>最初</w:t>
      </w:r>
      <w:r>
        <w:rPr>
          <w:rFonts w:hint="eastAsia" w:ascii="宋体" w:hAnsi="宋体" w:cs="Courier New"/>
          <w:sz w:val="28"/>
          <w:szCs w:val="28"/>
        </w:rPr>
        <w:t>于201</w:t>
      </w:r>
      <w:r>
        <w:rPr>
          <w:rFonts w:ascii="宋体" w:hAnsi="宋体" w:cs="Courier New"/>
          <w:sz w:val="28"/>
          <w:szCs w:val="28"/>
        </w:rPr>
        <w:t>9</w:t>
      </w:r>
      <w:r>
        <w:rPr>
          <w:rFonts w:hint="eastAsia" w:ascii="宋体" w:hAnsi="宋体" w:cs="Courier New"/>
          <w:sz w:val="28"/>
          <w:szCs w:val="28"/>
        </w:rPr>
        <w:t>年</w:t>
      </w:r>
      <w:r>
        <w:rPr>
          <w:rFonts w:ascii="宋体" w:hAnsi="宋体" w:cs="Courier New"/>
          <w:sz w:val="28"/>
          <w:szCs w:val="28"/>
        </w:rPr>
        <w:t>8</w:t>
      </w:r>
      <w:r>
        <w:rPr>
          <w:rFonts w:hint="eastAsia" w:ascii="宋体" w:hAnsi="宋体" w:cs="Courier New"/>
          <w:sz w:val="28"/>
          <w:szCs w:val="28"/>
        </w:rPr>
        <w:t>月</w:t>
      </w:r>
      <w:r>
        <w:rPr>
          <w:rFonts w:ascii="宋体" w:hAnsi="宋体" w:cs="Courier New"/>
          <w:sz w:val="28"/>
          <w:szCs w:val="28"/>
        </w:rPr>
        <w:t>15</w:t>
      </w:r>
      <w:r>
        <w:rPr>
          <w:rFonts w:hint="eastAsia" w:ascii="宋体" w:hAnsi="宋体" w:cs="Courier New"/>
          <w:sz w:val="28"/>
          <w:szCs w:val="28"/>
        </w:rPr>
        <w:t>日经中国输血协会血液质量专业委员会批准立项，由浙江省血液中心等</w:t>
      </w:r>
      <w:r>
        <w:rPr>
          <w:rFonts w:hint="eastAsia" w:ascii="宋体" w:hAnsi="宋体" w:cs="Courier New"/>
          <w:sz w:val="28"/>
          <w:szCs w:val="28"/>
          <w:lang w:val="en-US" w:eastAsia="zh-CN"/>
        </w:rPr>
        <w:t>9</w:t>
      </w:r>
      <w:r>
        <w:rPr>
          <w:rFonts w:hint="eastAsia" w:ascii="宋体" w:hAnsi="宋体" w:cs="Courier New"/>
          <w:sz w:val="28"/>
          <w:szCs w:val="28"/>
        </w:rPr>
        <w:t>家单位撰写，并于20</w:t>
      </w:r>
      <w:r>
        <w:rPr>
          <w:rFonts w:ascii="宋体" w:hAnsi="宋体" w:cs="Courier New"/>
          <w:sz w:val="28"/>
          <w:szCs w:val="28"/>
        </w:rPr>
        <w:t>21</w:t>
      </w:r>
      <w:r>
        <w:rPr>
          <w:rFonts w:hint="eastAsia" w:ascii="宋体" w:hAnsi="宋体" w:cs="Courier New"/>
          <w:sz w:val="28"/>
          <w:szCs w:val="28"/>
        </w:rPr>
        <w:t>年</w:t>
      </w:r>
      <w:r>
        <w:rPr>
          <w:rFonts w:ascii="宋体" w:hAnsi="宋体" w:cs="Courier New"/>
          <w:sz w:val="28"/>
          <w:szCs w:val="28"/>
        </w:rPr>
        <w:t>11</w:t>
      </w:r>
      <w:r>
        <w:rPr>
          <w:rFonts w:hint="eastAsia" w:ascii="宋体" w:hAnsi="宋体" w:cs="Courier New"/>
          <w:sz w:val="28"/>
          <w:szCs w:val="28"/>
        </w:rPr>
        <w:t>月</w:t>
      </w:r>
      <w:r>
        <w:rPr>
          <w:rFonts w:ascii="宋体" w:hAnsi="宋体" w:cs="Courier New"/>
          <w:sz w:val="28"/>
          <w:szCs w:val="28"/>
        </w:rPr>
        <w:t>10</w:t>
      </w:r>
      <w:r>
        <w:rPr>
          <w:rFonts w:hint="eastAsia" w:ascii="宋体" w:hAnsi="宋体" w:cs="Courier New"/>
          <w:sz w:val="28"/>
          <w:szCs w:val="28"/>
        </w:rPr>
        <w:t>日由中国输血协会正式发布和实施。根据《中国输血协会团体标准管理办法（</w:t>
      </w:r>
      <w:r>
        <w:rPr>
          <w:rFonts w:ascii="宋体" w:hAnsi="宋体" w:cs="Courier New"/>
          <w:sz w:val="28"/>
          <w:szCs w:val="28"/>
        </w:rPr>
        <w:t>2024</w:t>
      </w:r>
      <w:r>
        <w:rPr>
          <w:rFonts w:hint="eastAsia" w:ascii="宋体" w:hAnsi="宋体" w:cs="Courier New"/>
          <w:sz w:val="28"/>
          <w:szCs w:val="28"/>
        </w:rPr>
        <w:t>）》规定，202</w:t>
      </w:r>
      <w:r>
        <w:rPr>
          <w:rFonts w:ascii="宋体" w:hAnsi="宋体" w:cs="Courier New"/>
          <w:sz w:val="28"/>
          <w:szCs w:val="28"/>
        </w:rPr>
        <w:t>5</w:t>
      </w:r>
      <w:r>
        <w:rPr>
          <w:rFonts w:hint="eastAsia" w:ascii="宋体" w:hAnsi="宋体" w:cs="Courier New"/>
          <w:sz w:val="28"/>
          <w:szCs w:val="28"/>
        </w:rPr>
        <w:t>年</w:t>
      </w:r>
      <w:r>
        <w:rPr>
          <w:rFonts w:ascii="宋体" w:hAnsi="宋体" w:cs="Courier New"/>
          <w:sz w:val="28"/>
          <w:szCs w:val="28"/>
        </w:rPr>
        <w:t>3</w:t>
      </w:r>
      <w:r>
        <w:rPr>
          <w:rFonts w:hint="eastAsia" w:ascii="宋体" w:hAnsi="宋体" w:cs="Courier New"/>
          <w:sz w:val="28"/>
          <w:szCs w:val="28"/>
        </w:rPr>
        <w:t>月，中国输血协会血液质量专业委员会组织专家对实施3年的该标准进行了复审，复审结论为修订，并提出了若干修改建议。浙江省血液中心、重庆市血液中心、北京市红十字血液中心、广州血液中心、上海市血液中心、山东省血液中心、北京医院、浙江大学医学院附属第一医院，共计</w:t>
      </w:r>
      <w:r>
        <w:rPr>
          <w:rFonts w:ascii="宋体" w:hAnsi="宋体" w:cs="Courier New"/>
          <w:sz w:val="28"/>
          <w:szCs w:val="28"/>
        </w:rPr>
        <w:t>8</w:t>
      </w:r>
      <w:r>
        <w:rPr>
          <w:rFonts w:hint="eastAsia" w:ascii="宋体" w:hAnsi="宋体" w:cs="Courier New"/>
          <w:sz w:val="28"/>
          <w:szCs w:val="28"/>
        </w:rPr>
        <w:t>家单位承担了该标准的修订工作。主要参与人员及其承担的工作如下：</w:t>
      </w:r>
      <w:r>
        <w:rPr>
          <w:rFonts w:ascii="宋体" w:hAnsi="宋体" w:cs="Courier New"/>
          <w:sz w:val="28"/>
          <w:szCs w:val="28"/>
        </w:rPr>
        <w:t xml:space="preserve"> </w:t>
      </w:r>
    </w:p>
    <w:tbl>
      <w:tblPr>
        <w:tblStyle w:val="5"/>
        <w:tblW w:w="9050"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57" w:type="dxa"/>
          <w:bottom w:w="0" w:type="dxa"/>
          <w:right w:w="57" w:type="dxa"/>
        </w:tblCellMar>
      </w:tblPr>
      <w:tblGrid>
        <w:gridCol w:w="977"/>
        <w:gridCol w:w="1446"/>
        <w:gridCol w:w="1446"/>
        <w:gridCol w:w="1240"/>
        <w:gridCol w:w="2206"/>
        <w:gridCol w:w="1735"/>
      </w:tblGrid>
      <w:tr w14:paraId="2D20AAA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651" w:hRule="atLeast"/>
          <w:jc w:val="center"/>
        </w:trPr>
        <w:tc>
          <w:tcPr>
            <w:tcW w:w="977" w:type="dxa"/>
            <w:shd w:val="clear" w:color="auto" w:fill="auto"/>
            <w:vAlign w:val="center"/>
          </w:tcPr>
          <w:p w14:paraId="422CA9F5">
            <w:pPr>
              <w:jc w:val="center"/>
              <w:rPr>
                <w:rFonts w:ascii="宋体" w:hAnsi="宋体" w:eastAsia="宋体" w:cs="Times New Roman"/>
                <w:b/>
                <w:sz w:val="24"/>
              </w:rPr>
            </w:pPr>
            <w:r>
              <w:rPr>
                <w:rFonts w:hint="eastAsia" w:ascii="宋体" w:hAnsi="宋体" w:eastAsia="宋体" w:cs="Times New Roman"/>
                <w:b/>
                <w:sz w:val="24"/>
              </w:rPr>
              <w:t>姓名</w:t>
            </w:r>
          </w:p>
        </w:tc>
        <w:tc>
          <w:tcPr>
            <w:tcW w:w="1446" w:type="dxa"/>
            <w:shd w:val="clear" w:color="auto" w:fill="auto"/>
            <w:vAlign w:val="center"/>
          </w:tcPr>
          <w:p w14:paraId="5FBD69FC">
            <w:pPr>
              <w:jc w:val="center"/>
              <w:rPr>
                <w:rFonts w:ascii="宋体" w:hAnsi="宋体" w:eastAsia="宋体" w:cs="Times New Roman"/>
                <w:b/>
                <w:sz w:val="24"/>
              </w:rPr>
            </w:pPr>
            <w:r>
              <w:rPr>
                <w:rFonts w:hint="eastAsia" w:ascii="宋体" w:hAnsi="宋体" w:eastAsia="宋体" w:cs="Times New Roman"/>
                <w:b/>
                <w:sz w:val="24"/>
              </w:rPr>
              <w:t>职称</w:t>
            </w:r>
          </w:p>
        </w:tc>
        <w:tc>
          <w:tcPr>
            <w:tcW w:w="1446" w:type="dxa"/>
            <w:shd w:val="clear" w:color="auto" w:fill="auto"/>
            <w:vAlign w:val="center"/>
          </w:tcPr>
          <w:p w14:paraId="7AE25ABE">
            <w:pPr>
              <w:jc w:val="center"/>
              <w:rPr>
                <w:rFonts w:ascii="宋体" w:hAnsi="宋体" w:eastAsia="宋体" w:cs="Times New Roman"/>
                <w:b/>
                <w:sz w:val="24"/>
              </w:rPr>
            </w:pPr>
            <w:r>
              <w:rPr>
                <w:rFonts w:hint="eastAsia" w:ascii="宋体" w:hAnsi="宋体" w:eastAsia="宋体" w:cs="Times New Roman"/>
                <w:b/>
                <w:sz w:val="24"/>
              </w:rPr>
              <w:t>职务</w:t>
            </w:r>
          </w:p>
        </w:tc>
        <w:tc>
          <w:tcPr>
            <w:tcW w:w="1240" w:type="dxa"/>
            <w:shd w:val="clear" w:color="auto" w:fill="auto"/>
            <w:vAlign w:val="center"/>
          </w:tcPr>
          <w:p w14:paraId="7E9E160C">
            <w:pPr>
              <w:jc w:val="center"/>
              <w:rPr>
                <w:rFonts w:ascii="宋体" w:hAnsi="宋体" w:eastAsia="宋体" w:cs="Times New Roman"/>
                <w:b/>
                <w:sz w:val="24"/>
              </w:rPr>
            </w:pPr>
            <w:r>
              <w:rPr>
                <w:rFonts w:hint="eastAsia" w:ascii="宋体" w:hAnsi="宋体" w:eastAsia="宋体" w:cs="Times New Roman"/>
                <w:b/>
                <w:sz w:val="24"/>
              </w:rPr>
              <w:t>专业</w:t>
            </w:r>
          </w:p>
        </w:tc>
        <w:tc>
          <w:tcPr>
            <w:tcW w:w="2206" w:type="dxa"/>
            <w:shd w:val="clear" w:color="auto" w:fill="auto"/>
            <w:vAlign w:val="center"/>
          </w:tcPr>
          <w:p w14:paraId="4BB62EC5">
            <w:pPr>
              <w:jc w:val="center"/>
              <w:rPr>
                <w:rFonts w:ascii="宋体" w:hAnsi="宋体" w:eastAsia="宋体" w:cs="Times New Roman"/>
                <w:b/>
                <w:sz w:val="24"/>
              </w:rPr>
            </w:pPr>
            <w:r>
              <w:rPr>
                <w:rFonts w:hint="eastAsia" w:ascii="宋体" w:hAnsi="宋体" w:eastAsia="宋体" w:cs="Times New Roman"/>
                <w:b/>
                <w:sz w:val="24"/>
              </w:rPr>
              <w:t>单位</w:t>
            </w:r>
          </w:p>
        </w:tc>
        <w:tc>
          <w:tcPr>
            <w:tcW w:w="1735" w:type="dxa"/>
            <w:shd w:val="clear" w:color="auto" w:fill="auto"/>
            <w:vAlign w:val="center"/>
          </w:tcPr>
          <w:p w14:paraId="322A83FF">
            <w:pPr>
              <w:jc w:val="center"/>
              <w:rPr>
                <w:rFonts w:ascii="宋体" w:hAnsi="宋体" w:eastAsia="宋体" w:cs="Times New Roman"/>
                <w:b/>
                <w:sz w:val="24"/>
              </w:rPr>
            </w:pPr>
            <w:r>
              <w:rPr>
                <w:rFonts w:hint="eastAsia" w:ascii="宋体" w:hAnsi="宋体" w:eastAsia="宋体" w:cs="Times New Roman"/>
                <w:b/>
                <w:sz w:val="24"/>
              </w:rPr>
              <w:t>任务分工</w:t>
            </w:r>
          </w:p>
        </w:tc>
      </w:tr>
      <w:tr w14:paraId="532FEDD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691" w:hRule="atLeast"/>
          <w:jc w:val="center"/>
        </w:trPr>
        <w:tc>
          <w:tcPr>
            <w:tcW w:w="977" w:type="dxa"/>
            <w:vAlign w:val="center"/>
          </w:tcPr>
          <w:p w14:paraId="31CAB207">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朱发明</w:t>
            </w:r>
          </w:p>
        </w:tc>
        <w:tc>
          <w:tcPr>
            <w:tcW w:w="1446" w:type="dxa"/>
            <w:vAlign w:val="center"/>
          </w:tcPr>
          <w:p w14:paraId="7D923D58">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主任技师</w:t>
            </w:r>
          </w:p>
        </w:tc>
        <w:tc>
          <w:tcPr>
            <w:tcW w:w="1446" w:type="dxa"/>
            <w:vAlign w:val="center"/>
          </w:tcPr>
          <w:p w14:paraId="60C6BF1B">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中心副主任</w:t>
            </w:r>
          </w:p>
        </w:tc>
        <w:tc>
          <w:tcPr>
            <w:tcW w:w="1240" w:type="dxa"/>
            <w:vAlign w:val="center"/>
          </w:tcPr>
          <w:p w14:paraId="632C4CAF">
            <w:pPr>
              <w:pStyle w:val="13"/>
              <w:adjustRightInd w:val="0"/>
              <w:snapToGrid w:val="0"/>
              <w:spacing w:line="276" w:lineRule="auto"/>
              <w:jc w:val="center"/>
              <w:rPr>
                <w:rFonts w:eastAsia="宋体"/>
                <w:sz w:val="24"/>
                <w:szCs w:val="24"/>
              </w:rPr>
            </w:pPr>
            <w:r>
              <w:rPr>
                <w:rFonts w:eastAsia="宋体"/>
                <w:sz w:val="24"/>
                <w:szCs w:val="24"/>
              </w:rPr>
              <w:t>输血医学</w:t>
            </w:r>
          </w:p>
        </w:tc>
        <w:tc>
          <w:tcPr>
            <w:tcW w:w="2206" w:type="dxa"/>
            <w:vAlign w:val="center"/>
          </w:tcPr>
          <w:p w14:paraId="69E32D59">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浙江省血液中心</w:t>
            </w:r>
          </w:p>
        </w:tc>
        <w:tc>
          <w:tcPr>
            <w:tcW w:w="1735" w:type="dxa"/>
            <w:vAlign w:val="center"/>
          </w:tcPr>
          <w:p w14:paraId="0C27DF3A">
            <w:pPr>
              <w:pStyle w:val="13"/>
              <w:adjustRightInd w:val="0"/>
              <w:snapToGrid w:val="0"/>
              <w:spacing w:line="276" w:lineRule="auto"/>
              <w:jc w:val="left"/>
              <w:rPr>
                <w:rFonts w:eastAsia="宋体"/>
                <w:sz w:val="24"/>
                <w:szCs w:val="24"/>
              </w:rPr>
            </w:pPr>
            <w:r>
              <w:rPr>
                <w:rFonts w:eastAsia="宋体"/>
                <w:sz w:val="24"/>
                <w:szCs w:val="24"/>
              </w:rPr>
              <w:t>项目总负责</w:t>
            </w:r>
          </w:p>
        </w:tc>
      </w:tr>
      <w:tr w14:paraId="2873E33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707" w:hRule="atLeast"/>
          <w:jc w:val="center"/>
        </w:trPr>
        <w:tc>
          <w:tcPr>
            <w:tcW w:w="977" w:type="dxa"/>
            <w:vAlign w:val="center"/>
          </w:tcPr>
          <w:p w14:paraId="19938842">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毛伟</w:t>
            </w:r>
          </w:p>
        </w:tc>
        <w:tc>
          <w:tcPr>
            <w:tcW w:w="1446" w:type="dxa"/>
            <w:vAlign w:val="center"/>
          </w:tcPr>
          <w:p w14:paraId="2E3444BF">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主任技师</w:t>
            </w:r>
          </w:p>
        </w:tc>
        <w:tc>
          <w:tcPr>
            <w:tcW w:w="1446" w:type="dxa"/>
            <w:vAlign w:val="center"/>
          </w:tcPr>
          <w:p w14:paraId="685837F8">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研究所所长</w:t>
            </w:r>
          </w:p>
        </w:tc>
        <w:tc>
          <w:tcPr>
            <w:tcW w:w="1240" w:type="dxa"/>
            <w:vAlign w:val="center"/>
          </w:tcPr>
          <w:p w14:paraId="28D1B66D">
            <w:pPr>
              <w:pStyle w:val="13"/>
              <w:adjustRightInd w:val="0"/>
              <w:snapToGrid w:val="0"/>
              <w:spacing w:line="276" w:lineRule="auto"/>
              <w:jc w:val="center"/>
              <w:rPr>
                <w:rFonts w:eastAsia="宋体"/>
                <w:sz w:val="24"/>
                <w:szCs w:val="24"/>
              </w:rPr>
            </w:pPr>
            <w:r>
              <w:rPr>
                <w:rFonts w:eastAsia="宋体"/>
                <w:sz w:val="24"/>
                <w:szCs w:val="24"/>
              </w:rPr>
              <w:t>输血医学</w:t>
            </w:r>
          </w:p>
        </w:tc>
        <w:tc>
          <w:tcPr>
            <w:tcW w:w="2206" w:type="dxa"/>
            <w:vAlign w:val="center"/>
          </w:tcPr>
          <w:p w14:paraId="622868EE">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重庆市血液中心</w:t>
            </w:r>
          </w:p>
        </w:tc>
        <w:tc>
          <w:tcPr>
            <w:tcW w:w="1735" w:type="dxa"/>
            <w:vAlign w:val="center"/>
          </w:tcPr>
          <w:p w14:paraId="28335042">
            <w:pPr>
              <w:pStyle w:val="13"/>
              <w:adjustRightInd w:val="0"/>
              <w:snapToGrid w:val="0"/>
              <w:spacing w:line="276" w:lineRule="auto"/>
              <w:jc w:val="left"/>
              <w:rPr>
                <w:rFonts w:eastAsia="宋体"/>
                <w:sz w:val="24"/>
                <w:szCs w:val="24"/>
              </w:rPr>
            </w:pPr>
            <w:r>
              <w:rPr>
                <w:rFonts w:eastAsia="宋体"/>
                <w:sz w:val="24"/>
                <w:szCs w:val="24"/>
              </w:rPr>
              <w:t>标准起草</w:t>
            </w:r>
          </w:p>
        </w:tc>
      </w:tr>
      <w:tr w14:paraId="6CE2282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691" w:hRule="atLeast"/>
          <w:jc w:val="center"/>
        </w:trPr>
        <w:tc>
          <w:tcPr>
            <w:tcW w:w="977" w:type="dxa"/>
            <w:vAlign w:val="center"/>
          </w:tcPr>
          <w:p w14:paraId="47A9DCFE">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张志欣</w:t>
            </w:r>
          </w:p>
        </w:tc>
        <w:tc>
          <w:tcPr>
            <w:tcW w:w="1446" w:type="dxa"/>
            <w:vAlign w:val="center"/>
          </w:tcPr>
          <w:p w14:paraId="03DEBA84">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主任医师</w:t>
            </w:r>
          </w:p>
        </w:tc>
        <w:tc>
          <w:tcPr>
            <w:tcW w:w="1446" w:type="dxa"/>
            <w:vAlign w:val="center"/>
          </w:tcPr>
          <w:p w14:paraId="78B82EB6">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w:t>
            </w:r>
          </w:p>
        </w:tc>
        <w:tc>
          <w:tcPr>
            <w:tcW w:w="1240" w:type="dxa"/>
            <w:vAlign w:val="center"/>
          </w:tcPr>
          <w:p w14:paraId="0718E95F">
            <w:pPr>
              <w:pStyle w:val="13"/>
              <w:adjustRightInd w:val="0"/>
              <w:snapToGrid w:val="0"/>
              <w:spacing w:line="276" w:lineRule="auto"/>
              <w:jc w:val="center"/>
              <w:rPr>
                <w:rFonts w:eastAsia="宋体"/>
                <w:sz w:val="24"/>
                <w:szCs w:val="24"/>
              </w:rPr>
            </w:pPr>
            <w:r>
              <w:rPr>
                <w:rFonts w:eastAsia="宋体"/>
                <w:sz w:val="24"/>
                <w:szCs w:val="24"/>
              </w:rPr>
              <w:t>输血医学</w:t>
            </w:r>
          </w:p>
        </w:tc>
        <w:tc>
          <w:tcPr>
            <w:tcW w:w="2206" w:type="dxa"/>
            <w:vAlign w:val="center"/>
          </w:tcPr>
          <w:p w14:paraId="630A2D45">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北京市红十字血液中心</w:t>
            </w:r>
          </w:p>
        </w:tc>
        <w:tc>
          <w:tcPr>
            <w:tcW w:w="1735" w:type="dxa"/>
            <w:vAlign w:val="center"/>
          </w:tcPr>
          <w:p w14:paraId="4F71A301">
            <w:pPr>
              <w:pStyle w:val="13"/>
              <w:adjustRightInd w:val="0"/>
              <w:snapToGrid w:val="0"/>
              <w:spacing w:line="276" w:lineRule="auto"/>
              <w:jc w:val="left"/>
              <w:rPr>
                <w:rFonts w:eastAsia="宋体"/>
                <w:sz w:val="24"/>
                <w:szCs w:val="24"/>
              </w:rPr>
            </w:pPr>
            <w:r>
              <w:rPr>
                <w:rFonts w:eastAsia="宋体"/>
                <w:sz w:val="24"/>
                <w:szCs w:val="24"/>
              </w:rPr>
              <w:t>标准修改补充</w:t>
            </w:r>
          </w:p>
        </w:tc>
      </w:tr>
      <w:tr w14:paraId="78FF47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707" w:hRule="atLeast"/>
          <w:jc w:val="center"/>
        </w:trPr>
        <w:tc>
          <w:tcPr>
            <w:tcW w:w="977" w:type="dxa"/>
            <w:vAlign w:val="center"/>
          </w:tcPr>
          <w:p w14:paraId="2A619476">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许先国</w:t>
            </w:r>
          </w:p>
        </w:tc>
        <w:tc>
          <w:tcPr>
            <w:tcW w:w="1446" w:type="dxa"/>
            <w:vAlign w:val="center"/>
          </w:tcPr>
          <w:p w14:paraId="170F7652">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主任技师</w:t>
            </w:r>
          </w:p>
        </w:tc>
        <w:tc>
          <w:tcPr>
            <w:tcW w:w="1446" w:type="dxa"/>
            <w:vAlign w:val="center"/>
          </w:tcPr>
          <w:p w14:paraId="09CC4FF7">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研究所副所长</w:t>
            </w:r>
          </w:p>
        </w:tc>
        <w:tc>
          <w:tcPr>
            <w:tcW w:w="1240" w:type="dxa"/>
            <w:vAlign w:val="center"/>
          </w:tcPr>
          <w:p w14:paraId="73ACA323">
            <w:pPr>
              <w:pStyle w:val="13"/>
              <w:adjustRightInd w:val="0"/>
              <w:snapToGrid w:val="0"/>
              <w:spacing w:line="276" w:lineRule="auto"/>
              <w:jc w:val="center"/>
              <w:rPr>
                <w:rFonts w:eastAsia="宋体"/>
                <w:sz w:val="24"/>
                <w:szCs w:val="24"/>
              </w:rPr>
            </w:pPr>
            <w:r>
              <w:rPr>
                <w:rFonts w:eastAsia="宋体"/>
                <w:sz w:val="24"/>
                <w:szCs w:val="24"/>
              </w:rPr>
              <w:t>输血医学</w:t>
            </w:r>
          </w:p>
        </w:tc>
        <w:tc>
          <w:tcPr>
            <w:tcW w:w="2206" w:type="dxa"/>
            <w:vAlign w:val="center"/>
          </w:tcPr>
          <w:p w14:paraId="2773F3AF">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浙江省血液中心</w:t>
            </w:r>
          </w:p>
        </w:tc>
        <w:tc>
          <w:tcPr>
            <w:tcW w:w="1735" w:type="dxa"/>
            <w:vAlign w:val="center"/>
          </w:tcPr>
          <w:p w14:paraId="54961B76">
            <w:pPr>
              <w:pStyle w:val="13"/>
              <w:adjustRightInd w:val="0"/>
              <w:snapToGrid w:val="0"/>
              <w:spacing w:line="276" w:lineRule="auto"/>
              <w:jc w:val="left"/>
              <w:rPr>
                <w:rFonts w:eastAsia="宋体"/>
                <w:sz w:val="24"/>
                <w:szCs w:val="24"/>
              </w:rPr>
            </w:pPr>
            <w:r>
              <w:rPr>
                <w:rFonts w:eastAsia="宋体"/>
                <w:sz w:val="24"/>
                <w:szCs w:val="24"/>
              </w:rPr>
              <w:t>标准起草</w:t>
            </w:r>
          </w:p>
        </w:tc>
      </w:tr>
      <w:tr w14:paraId="6FB5A5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707" w:hRule="atLeast"/>
          <w:jc w:val="center"/>
        </w:trPr>
        <w:tc>
          <w:tcPr>
            <w:tcW w:w="977" w:type="dxa"/>
            <w:vAlign w:val="center"/>
          </w:tcPr>
          <w:p w14:paraId="438C94B9">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叶欣</w:t>
            </w:r>
          </w:p>
        </w:tc>
        <w:tc>
          <w:tcPr>
            <w:tcW w:w="1446" w:type="dxa"/>
            <w:vAlign w:val="center"/>
          </w:tcPr>
          <w:p w14:paraId="0658BBF0">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主任医师</w:t>
            </w:r>
          </w:p>
        </w:tc>
        <w:tc>
          <w:tcPr>
            <w:tcW w:w="1446" w:type="dxa"/>
            <w:vAlign w:val="center"/>
          </w:tcPr>
          <w:p w14:paraId="107355CB">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研究所副所长</w:t>
            </w:r>
          </w:p>
        </w:tc>
        <w:tc>
          <w:tcPr>
            <w:tcW w:w="1240" w:type="dxa"/>
            <w:vAlign w:val="center"/>
          </w:tcPr>
          <w:p w14:paraId="09DE9EA3">
            <w:pPr>
              <w:pStyle w:val="13"/>
              <w:adjustRightInd w:val="0"/>
              <w:snapToGrid w:val="0"/>
              <w:spacing w:line="276" w:lineRule="auto"/>
              <w:jc w:val="center"/>
              <w:rPr>
                <w:rFonts w:eastAsia="宋体"/>
                <w:sz w:val="24"/>
                <w:szCs w:val="24"/>
              </w:rPr>
            </w:pPr>
            <w:r>
              <w:rPr>
                <w:rFonts w:eastAsia="宋体"/>
                <w:sz w:val="24"/>
                <w:szCs w:val="24"/>
              </w:rPr>
              <w:t>输血</w:t>
            </w:r>
            <w:r>
              <w:rPr>
                <w:rFonts w:hint="eastAsia" w:eastAsia="宋体"/>
                <w:sz w:val="24"/>
                <w:szCs w:val="24"/>
              </w:rPr>
              <w:t>免疫</w:t>
            </w:r>
            <w:r>
              <w:rPr>
                <w:rFonts w:eastAsia="宋体"/>
                <w:sz w:val="24"/>
                <w:szCs w:val="24"/>
              </w:rPr>
              <w:t>学</w:t>
            </w:r>
          </w:p>
        </w:tc>
        <w:tc>
          <w:tcPr>
            <w:tcW w:w="2206" w:type="dxa"/>
            <w:vAlign w:val="center"/>
          </w:tcPr>
          <w:p w14:paraId="3CD7C399">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广州血液中心</w:t>
            </w:r>
          </w:p>
        </w:tc>
        <w:tc>
          <w:tcPr>
            <w:tcW w:w="1735" w:type="dxa"/>
            <w:vAlign w:val="center"/>
          </w:tcPr>
          <w:p w14:paraId="1EEFA714">
            <w:pPr>
              <w:pStyle w:val="13"/>
              <w:adjustRightInd w:val="0"/>
              <w:snapToGrid w:val="0"/>
              <w:spacing w:line="276" w:lineRule="auto"/>
              <w:jc w:val="left"/>
              <w:rPr>
                <w:rFonts w:eastAsia="宋体"/>
                <w:sz w:val="24"/>
                <w:szCs w:val="24"/>
              </w:rPr>
            </w:pPr>
            <w:r>
              <w:rPr>
                <w:rFonts w:eastAsia="宋体"/>
                <w:sz w:val="24"/>
                <w:szCs w:val="24"/>
              </w:rPr>
              <w:t>标准起草</w:t>
            </w:r>
          </w:p>
        </w:tc>
      </w:tr>
      <w:tr w14:paraId="2DF5C2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707" w:hRule="atLeast"/>
          <w:jc w:val="center"/>
        </w:trPr>
        <w:tc>
          <w:tcPr>
            <w:tcW w:w="977" w:type="dxa"/>
            <w:vAlign w:val="center"/>
          </w:tcPr>
          <w:p w14:paraId="7982AF16">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朱自严</w:t>
            </w:r>
          </w:p>
        </w:tc>
        <w:tc>
          <w:tcPr>
            <w:tcW w:w="1446" w:type="dxa"/>
            <w:vAlign w:val="center"/>
          </w:tcPr>
          <w:p w14:paraId="590424AB">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研究员</w:t>
            </w:r>
          </w:p>
        </w:tc>
        <w:tc>
          <w:tcPr>
            <w:tcW w:w="1446" w:type="dxa"/>
            <w:vAlign w:val="center"/>
          </w:tcPr>
          <w:p w14:paraId="674A6E1B">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中心副主任</w:t>
            </w:r>
          </w:p>
        </w:tc>
        <w:tc>
          <w:tcPr>
            <w:tcW w:w="1240" w:type="dxa"/>
            <w:vAlign w:val="center"/>
          </w:tcPr>
          <w:p w14:paraId="61444479">
            <w:pPr>
              <w:pStyle w:val="13"/>
              <w:adjustRightInd w:val="0"/>
              <w:snapToGrid w:val="0"/>
              <w:spacing w:line="276" w:lineRule="auto"/>
              <w:jc w:val="center"/>
              <w:rPr>
                <w:rFonts w:eastAsia="宋体"/>
                <w:sz w:val="24"/>
                <w:szCs w:val="24"/>
              </w:rPr>
            </w:pPr>
            <w:r>
              <w:rPr>
                <w:rFonts w:hint="eastAsia" w:eastAsia="宋体"/>
                <w:sz w:val="24"/>
                <w:szCs w:val="24"/>
              </w:rPr>
              <w:t>免疫</w:t>
            </w:r>
            <w:r>
              <w:rPr>
                <w:rFonts w:eastAsia="宋体"/>
                <w:sz w:val="24"/>
                <w:szCs w:val="24"/>
              </w:rPr>
              <w:t>血液学</w:t>
            </w:r>
          </w:p>
        </w:tc>
        <w:tc>
          <w:tcPr>
            <w:tcW w:w="2206" w:type="dxa"/>
            <w:vAlign w:val="center"/>
          </w:tcPr>
          <w:p w14:paraId="34DCBAB5">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上海市血液中心</w:t>
            </w:r>
          </w:p>
        </w:tc>
        <w:tc>
          <w:tcPr>
            <w:tcW w:w="1735" w:type="dxa"/>
            <w:vAlign w:val="center"/>
          </w:tcPr>
          <w:p w14:paraId="469C5E80">
            <w:pPr>
              <w:pStyle w:val="13"/>
              <w:adjustRightInd w:val="0"/>
              <w:snapToGrid w:val="0"/>
              <w:spacing w:line="276" w:lineRule="auto"/>
              <w:jc w:val="left"/>
              <w:rPr>
                <w:rFonts w:eastAsia="宋体"/>
                <w:sz w:val="24"/>
                <w:szCs w:val="24"/>
              </w:rPr>
            </w:pPr>
            <w:r>
              <w:rPr>
                <w:rFonts w:eastAsia="宋体"/>
                <w:sz w:val="24"/>
                <w:szCs w:val="24"/>
              </w:rPr>
              <w:t>标准修改补充</w:t>
            </w:r>
          </w:p>
        </w:tc>
      </w:tr>
      <w:tr w14:paraId="4F95C02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913" w:hRule="atLeast"/>
          <w:jc w:val="center"/>
        </w:trPr>
        <w:tc>
          <w:tcPr>
            <w:tcW w:w="977" w:type="dxa"/>
            <w:vAlign w:val="center"/>
          </w:tcPr>
          <w:p w14:paraId="36459DBD">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朱传福</w:t>
            </w:r>
          </w:p>
        </w:tc>
        <w:tc>
          <w:tcPr>
            <w:tcW w:w="1446" w:type="dxa"/>
            <w:vAlign w:val="center"/>
          </w:tcPr>
          <w:p w14:paraId="209BCD4E">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主任药师</w:t>
            </w:r>
          </w:p>
        </w:tc>
        <w:tc>
          <w:tcPr>
            <w:tcW w:w="1446" w:type="dxa"/>
            <w:vAlign w:val="center"/>
          </w:tcPr>
          <w:p w14:paraId="3ADBEBA5">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w:t>
            </w:r>
          </w:p>
        </w:tc>
        <w:tc>
          <w:tcPr>
            <w:tcW w:w="1240" w:type="dxa"/>
            <w:vAlign w:val="center"/>
          </w:tcPr>
          <w:p w14:paraId="36A5D78A">
            <w:pPr>
              <w:pStyle w:val="13"/>
              <w:adjustRightInd w:val="0"/>
              <w:snapToGrid w:val="0"/>
              <w:spacing w:line="276" w:lineRule="auto"/>
              <w:jc w:val="center"/>
              <w:rPr>
                <w:rFonts w:eastAsia="宋体"/>
                <w:sz w:val="24"/>
                <w:szCs w:val="24"/>
              </w:rPr>
            </w:pPr>
            <w:r>
              <w:rPr>
                <w:rFonts w:hint="eastAsia" w:eastAsia="宋体"/>
                <w:sz w:val="24"/>
                <w:szCs w:val="24"/>
              </w:rPr>
              <w:t>免疫</w:t>
            </w:r>
            <w:r>
              <w:rPr>
                <w:rFonts w:eastAsia="宋体"/>
                <w:sz w:val="24"/>
                <w:szCs w:val="24"/>
              </w:rPr>
              <w:t>遗传与输血</w:t>
            </w:r>
          </w:p>
        </w:tc>
        <w:tc>
          <w:tcPr>
            <w:tcW w:w="2206" w:type="dxa"/>
            <w:vAlign w:val="center"/>
          </w:tcPr>
          <w:p w14:paraId="102F4711">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山东省血液中心</w:t>
            </w:r>
          </w:p>
        </w:tc>
        <w:tc>
          <w:tcPr>
            <w:tcW w:w="1735" w:type="dxa"/>
            <w:vAlign w:val="center"/>
          </w:tcPr>
          <w:p w14:paraId="77E68BFD">
            <w:pPr>
              <w:pStyle w:val="13"/>
              <w:adjustRightInd w:val="0"/>
              <w:snapToGrid w:val="0"/>
              <w:spacing w:line="276" w:lineRule="auto"/>
              <w:jc w:val="left"/>
              <w:rPr>
                <w:rFonts w:eastAsia="宋体"/>
                <w:sz w:val="24"/>
                <w:szCs w:val="24"/>
              </w:rPr>
            </w:pPr>
            <w:r>
              <w:rPr>
                <w:rFonts w:eastAsia="宋体"/>
                <w:sz w:val="24"/>
                <w:szCs w:val="24"/>
              </w:rPr>
              <w:t>标准修改补充</w:t>
            </w:r>
          </w:p>
        </w:tc>
      </w:tr>
      <w:tr w14:paraId="071107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707" w:hRule="atLeast"/>
          <w:jc w:val="center"/>
        </w:trPr>
        <w:tc>
          <w:tcPr>
            <w:tcW w:w="977" w:type="dxa"/>
            <w:vAlign w:val="center"/>
          </w:tcPr>
          <w:p w14:paraId="536CB0FA">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宫济武</w:t>
            </w:r>
          </w:p>
        </w:tc>
        <w:tc>
          <w:tcPr>
            <w:tcW w:w="1446" w:type="dxa"/>
            <w:vAlign w:val="center"/>
          </w:tcPr>
          <w:p w14:paraId="6E71D187">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主任医师</w:t>
            </w:r>
          </w:p>
        </w:tc>
        <w:tc>
          <w:tcPr>
            <w:tcW w:w="1446" w:type="dxa"/>
            <w:vAlign w:val="center"/>
          </w:tcPr>
          <w:p w14:paraId="640C9F76">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科主任</w:t>
            </w:r>
          </w:p>
        </w:tc>
        <w:tc>
          <w:tcPr>
            <w:tcW w:w="1240" w:type="dxa"/>
            <w:vAlign w:val="center"/>
          </w:tcPr>
          <w:p w14:paraId="0EA636FF">
            <w:pPr>
              <w:pStyle w:val="13"/>
              <w:adjustRightInd w:val="0"/>
              <w:snapToGrid w:val="0"/>
              <w:spacing w:line="276" w:lineRule="auto"/>
              <w:jc w:val="center"/>
              <w:rPr>
                <w:rFonts w:eastAsia="宋体"/>
                <w:sz w:val="24"/>
                <w:szCs w:val="24"/>
              </w:rPr>
            </w:pPr>
            <w:r>
              <w:rPr>
                <w:rFonts w:eastAsia="宋体"/>
                <w:sz w:val="24"/>
                <w:szCs w:val="24"/>
              </w:rPr>
              <w:t>输血医学</w:t>
            </w:r>
          </w:p>
        </w:tc>
        <w:tc>
          <w:tcPr>
            <w:tcW w:w="2206" w:type="dxa"/>
            <w:vAlign w:val="center"/>
          </w:tcPr>
          <w:p w14:paraId="7BB02479">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北京医院</w:t>
            </w:r>
          </w:p>
        </w:tc>
        <w:tc>
          <w:tcPr>
            <w:tcW w:w="1735" w:type="dxa"/>
            <w:vAlign w:val="center"/>
          </w:tcPr>
          <w:p w14:paraId="3E528D42">
            <w:pPr>
              <w:pStyle w:val="13"/>
              <w:adjustRightInd w:val="0"/>
              <w:snapToGrid w:val="0"/>
              <w:spacing w:line="276" w:lineRule="auto"/>
              <w:jc w:val="left"/>
              <w:rPr>
                <w:rFonts w:eastAsia="宋体"/>
                <w:sz w:val="24"/>
                <w:szCs w:val="24"/>
              </w:rPr>
            </w:pPr>
            <w:r>
              <w:rPr>
                <w:rFonts w:eastAsia="宋体"/>
                <w:sz w:val="24"/>
                <w:szCs w:val="24"/>
              </w:rPr>
              <w:t>标准修改补充</w:t>
            </w:r>
          </w:p>
        </w:tc>
      </w:tr>
      <w:tr w14:paraId="3B0791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691" w:hRule="atLeast"/>
          <w:jc w:val="center"/>
        </w:trPr>
        <w:tc>
          <w:tcPr>
            <w:tcW w:w="977" w:type="dxa"/>
            <w:vAlign w:val="center"/>
          </w:tcPr>
          <w:p w14:paraId="792A64BE">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谢珏</w:t>
            </w:r>
          </w:p>
        </w:tc>
        <w:tc>
          <w:tcPr>
            <w:tcW w:w="1446" w:type="dxa"/>
            <w:vAlign w:val="center"/>
          </w:tcPr>
          <w:p w14:paraId="71BF3614">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主任技师</w:t>
            </w:r>
          </w:p>
        </w:tc>
        <w:tc>
          <w:tcPr>
            <w:tcW w:w="1446" w:type="dxa"/>
            <w:vAlign w:val="center"/>
          </w:tcPr>
          <w:p w14:paraId="2A091691">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科主任</w:t>
            </w:r>
          </w:p>
        </w:tc>
        <w:tc>
          <w:tcPr>
            <w:tcW w:w="1240" w:type="dxa"/>
            <w:vAlign w:val="center"/>
          </w:tcPr>
          <w:p w14:paraId="702E9AEE">
            <w:pPr>
              <w:pStyle w:val="13"/>
              <w:adjustRightInd w:val="0"/>
              <w:snapToGrid w:val="0"/>
              <w:spacing w:line="276" w:lineRule="auto"/>
              <w:jc w:val="center"/>
              <w:rPr>
                <w:rFonts w:eastAsia="宋体"/>
                <w:sz w:val="24"/>
                <w:szCs w:val="24"/>
              </w:rPr>
            </w:pPr>
            <w:r>
              <w:rPr>
                <w:rFonts w:eastAsia="宋体"/>
                <w:sz w:val="24"/>
                <w:szCs w:val="24"/>
              </w:rPr>
              <w:t>输血医学</w:t>
            </w:r>
          </w:p>
        </w:tc>
        <w:tc>
          <w:tcPr>
            <w:tcW w:w="2206" w:type="dxa"/>
            <w:vAlign w:val="center"/>
          </w:tcPr>
          <w:p w14:paraId="34273BA8">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浙江大学附属第一医院</w:t>
            </w:r>
          </w:p>
        </w:tc>
        <w:tc>
          <w:tcPr>
            <w:tcW w:w="1735" w:type="dxa"/>
            <w:vAlign w:val="center"/>
          </w:tcPr>
          <w:p w14:paraId="2228F731">
            <w:pPr>
              <w:pStyle w:val="13"/>
              <w:adjustRightInd w:val="0"/>
              <w:snapToGrid w:val="0"/>
              <w:spacing w:line="276" w:lineRule="auto"/>
              <w:jc w:val="left"/>
              <w:rPr>
                <w:rFonts w:eastAsia="宋体"/>
                <w:sz w:val="24"/>
                <w:szCs w:val="24"/>
              </w:rPr>
            </w:pPr>
            <w:r>
              <w:rPr>
                <w:rFonts w:eastAsia="宋体"/>
                <w:sz w:val="24"/>
                <w:szCs w:val="24"/>
              </w:rPr>
              <w:t>标准修改补充</w:t>
            </w:r>
          </w:p>
        </w:tc>
      </w:tr>
      <w:tr w14:paraId="2A20639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57" w:type="dxa"/>
            <w:bottom w:w="0" w:type="dxa"/>
            <w:right w:w="57" w:type="dxa"/>
          </w:tblCellMar>
        </w:tblPrEx>
        <w:trPr>
          <w:trHeight w:val="691" w:hRule="atLeast"/>
          <w:jc w:val="center"/>
        </w:trPr>
        <w:tc>
          <w:tcPr>
            <w:tcW w:w="977" w:type="dxa"/>
            <w:vAlign w:val="center"/>
          </w:tcPr>
          <w:p w14:paraId="1EF8B073">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何吉</w:t>
            </w:r>
          </w:p>
        </w:tc>
        <w:tc>
          <w:tcPr>
            <w:tcW w:w="1446" w:type="dxa"/>
            <w:vAlign w:val="center"/>
          </w:tcPr>
          <w:p w14:paraId="3DC73B52">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主任技师</w:t>
            </w:r>
          </w:p>
        </w:tc>
        <w:tc>
          <w:tcPr>
            <w:tcW w:w="1446" w:type="dxa"/>
            <w:vAlign w:val="center"/>
          </w:tcPr>
          <w:p w14:paraId="371B3409">
            <w:pPr>
              <w:pStyle w:val="12"/>
              <w:spacing w:line="276" w:lineRule="auto"/>
              <w:ind w:firstLine="0" w:firstLineChars="0"/>
              <w:jc w:val="center"/>
              <w:rPr>
                <w:rFonts w:ascii="宋体" w:hAnsi="宋体" w:eastAsia="宋体" w:cstheme="minorBidi"/>
                <w:sz w:val="24"/>
              </w:rPr>
            </w:pPr>
            <w:r>
              <w:rPr>
                <w:rFonts w:hint="eastAsia" w:ascii="宋体" w:hAnsi="宋体" w:eastAsia="宋体" w:cstheme="minorBidi"/>
                <w:sz w:val="24"/>
              </w:rPr>
              <w:t>/</w:t>
            </w:r>
          </w:p>
        </w:tc>
        <w:tc>
          <w:tcPr>
            <w:tcW w:w="1240" w:type="dxa"/>
            <w:vAlign w:val="center"/>
          </w:tcPr>
          <w:p w14:paraId="57866C12">
            <w:pPr>
              <w:pStyle w:val="13"/>
              <w:adjustRightInd w:val="0"/>
              <w:snapToGrid w:val="0"/>
              <w:spacing w:line="276" w:lineRule="auto"/>
              <w:jc w:val="center"/>
              <w:rPr>
                <w:rFonts w:eastAsia="宋体"/>
                <w:sz w:val="24"/>
                <w:szCs w:val="24"/>
              </w:rPr>
            </w:pPr>
            <w:r>
              <w:rPr>
                <w:rFonts w:eastAsia="宋体"/>
                <w:sz w:val="24"/>
                <w:szCs w:val="24"/>
              </w:rPr>
              <w:t>输血医学</w:t>
            </w:r>
          </w:p>
        </w:tc>
        <w:tc>
          <w:tcPr>
            <w:tcW w:w="2206" w:type="dxa"/>
            <w:vAlign w:val="center"/>
          </w:tcPr>
          <w:p w14:paraId="25DC9721">
            <w:pPr>
              <w:pStyle w:val="12"/>
              <w:spacing w:line="276" w:lineRule="auto"/>
              <w:ind w:firstLine="0" w:firstLineChars="0"/>
              <w:jc w:val="center"/>
              <w:rPr>
                <w:rFonts w:ascii="宋体" w:hAnsi="宋体" w:eastAsia="宋体" w:cstheme="minorBidi"/>
                <w:sz w:val="24"/>
              </w:rPr>
            </w:pPr>
            <w:r>
              <w:rPr>
                <w:rFonts w:ascii="宋体" w:hAnsi="宋体" w:eastAsia="宋体" w:cstheme="minorBidi"/>
                <w:sz w:val="24"/>
              </w:rPr>
              <w:t>浙江省血液中心</w:t>
            </w:r>
          </w:p>
        </w:tc>
        <w:tc>
          <w:tcPr>
            <w:tcW w:w="1735" w:type="dxa"/>
            <w:vAlign w:val="center"/>
          </w:tcPr>
          <w:p w14:paraId="046E2056">
            <w:pPr>
              <w:pStyle w:val="13"/>
              <w:adjustRightInd w:val="0"/>
              <w:snapToGrid w:val="0"/>
              <w:spacing w:line="276" w:lineRule="auto"/>
              <w:jc w:val="left"/>
              <w:rPr>
                <w:rFonts w:eastAsia="宋体"/>
                <w:sz w:val="24"/>
                <w:szCs w:val="24"/>
              </w:rPr>
            </w:pPr>
            <w:r>
              <w:rPr>
                <w:rFonts w:eastAsia="宋体"/>
                <w:sz w:val="24"/>
                <w:szCs w:val="24"/>
              </w:rPr>
              <w:t>标准起草</w:t>
            </w:r>
          </w:p>
        </w:tc>
      </w:tr>
    </w:tbl>
    <w:p w14:paraId="31FD41C1">
      <w:pPr>
        <w:spacing w:line="360" w:lineRule="auto"/>
        <w:ind w:firstLine="560" w:firstLineChars="200"/>
        <w:rPr>
          <w:rFonts w:ascii="黑体" w:hAnsi="宋体" w:eastAsia="黑体"/>
          <w:sz w:val="28"/>
          <w:szCs w:val="28"/>
        </w:rPr>
      </w:pPr>
      <w:r>
        <w:rPr>
          <w:rFonts w:hint="eastAsia" w:ascii="宋体" w:hAnsi="宋体" w:cs="Courier New"/>
          <w:sz w:val="28"/>
          <w:szCs w:val="28"/>
        </w:rPr>
        <w:t>编写组成员在充分考虑复审意见，结合现实情况对该标准进行了修订。2</w:t>
      </w:r>
      <w:r>
        <w:rPr>
          <w:rFonts w:ascii="宋体" w:hAnsi="宋体" w:cs="Courier New"/>
          <w:sz w:val="28"/>
          <w:szCs w:val="28"/>
        </w:rPr>
        <w:t>025</w:t>
      </w:r>
      <w:r>
        <w:rPr>
          <w:rFonts w:hint="eastAsia" w:ascii="宋体" w:hAnsi="宋体" w:cs="Courier New"/>
          <w:sz w:val="28"/>
          <w:szCs w:val="28"/>
        </w:rPr>
        <w:t>年4</w:t>
      </w:r>
      <w:r>
        <w:rPr>
          <w:rFonts w:ascii="宋体" w:hAnsi="宋体" w:cs="Courier New"/>
          <w:sz w:val="28"/>
          <w:szCs w:val="28"/>
        </w:rPr>
        <w:t>-5</w:t>
      </w:r>
      <w:r>
        <w:rPr>
          <w:rFonts w:hint="eastAsia" w:ascii="宋体" w:hAnsi="宋体" w:cs="Courier New"/>
          <w:sz w:val="28"/>
          <w:szCs w:val="28"/>
        </w:rPr>
        <w:t>月，根据复审会议的修改建议对该标准进行了初步修订；2</w:t>
      </w:r>
      <w:r>
        <w:rPr>
          <w:rFonts w:ascii="宋体" w:hAnsi="宋体" w:cs="Courier New"/>
          <w:sz w:val="28"/>
          <w:szCs w:val="28"/>
        </w:rPr>
        <w:t>025</w:t>
      </w:r>
      <w:r>
        <w:rPr>
          <w:rFonts w:hint="eastAsia" w:ascii="宋体" w:hAnsi="宋体" w:cs="Courier New"/>
          <w:sz w:val="28"/>
          <w:szCs w:val="28"/>
        </w:rPr>
        <w:t>年</w:t>
      </w:r>
      <w:r>
        <w:rPr>
          <w:rFonts w:ascii="宋体" w:hAnsi="宋体" w:cs="Courier New"/>
          <w:sz w:val="28"/>
          <w:szCs w:val="28"/>
        </w:rPr>
        <w:t>5-6</w:t>
      </w:r>
      <w:r>
        <w:rPr>
          <w:rFonts w:hint="eastAsia" w:ascii="宋体" w:hAnsi="宋体" w:cs="Courier New"/>
          <w:sz w:val="28"/>
          <w:szCs w:val="28"/>
        </w:rPr>
        <w:t>月，在编写组成员内部进行线上意见征集和标准再修订；2</w:t>
      </w:r>
      <w:r>
        <w:rPr>
          <w:rFonts w:ascii="宋体" w:hAnsi="宋体" w:cs="Courier New"/>
          <w:sz w:val="28"/>
          <w:szCs w:val="28"/>
        </w:rPr>
        <w:t>025</w:t>
      </w:r>
      <w:r>
        <w:rPr>
          <w:rFonts w:hint="eastAsia" w:ascii="宋体" w:hAnsi="宋体" w:cs="Courier New"/>
          <w:sz w:val="28"/>
          <w:szCs w:val="28"/>
        </w:rPr>
        <w:t>年7月召集部分编写组成员在浙江衢州进行现场讨论和标准再修订；2</w:t>
      </w:r>
      <w:r>
        <w:rPr>
          <w:rFonts w:ascii="宋体" w:hAnsi="宋体" w:cs="Courier New"/>
          <w:sz w:val="28"/>
          <w:szCs w:val="28"/>
        </w:rPr>
        <w:t>025</w:t>
      </w:r>
      <w:r>
        <w:rPr>
          <w:rFonts w:hint="eastAsia" w:ascii="宋体" w:hAnsi="宋体" w:cs="Courier New"/>
          <w:sz w:val="28"/>
          <w:szCs w:val="28"/>
        </w:rPr>
        <w:t>年7月形成该标准的征求意见稿。</w:t>
      </w:r>
    </w:p>
    <w:p w14:paraId="2235009F">
      <w:pPr>
        <w:numPr>
          <w:ilvl w:val="0"/>
          <w:numId w:val="1"/>
        </w:numPr>
        <w:spacing w:line="360" w:lineRule="auto"/>
        <w:rPr>
          <w:rFonts w:ascii="黑体" w:hAnsi="宋体" w:eastAsia="黑体"/>
          <w:sz w:val="28"/>
          <w:szCs w:val="28"/>
        </w:rPr>
      </w:pPr>
      <w:r>
        <w:rPr>
          <w:rFonts w:hint="eastAsia" w:ascii="黑体" w:hAnsi="宋体" w:eastAsia="黑体"/>
          <w:sz w:val="28"/>
          <w:szCs w:val="28"/>
        </w:rPr>
        <w:t>与相关规范性文件和其他标准的关系</w:t>
      </w:r>
    </w:p>
    <w:p w14:paraId="79737437">
      <w:pPr>
        <w:ind w:firstLine="560" w:firstLineChars="200"/>
        <w:rPr>
          <w:rFonts w:ascii="宋体" w:hAnsi="宋体"/>
          <w:sz w:val="28"/>
          <w:szCs w:val="28"/>
        </w:rPr>
      </w:pPr>
      <w:r>
        <w:rPr>
          <w:rFonts w:hint="eastAsia" w:ascii="宋体" w:hAnsi="宋体"/>
          <w:sz w:val="28"/>
          <w:szCs w:val="28"/>
        </w:rPr>
        <w:t>与本标准相关的国内法律、法规、规章、规范性文件和其他标准主要有：《血站管理办法》、《血站技术操作规程》、GB18467《献血者健康检查要求》、GB18469《全血及成分血质量要求》、WS/T623-2018《全血和成分血使用》、WS/T622-2018《内科输血》等，本标准与这些文件的相互关系如下：</w:t>
      </w:r>
    </w:p>
    <w:p w14:paraId="1FB1159B">
      <w:pPr>
        <w:ind w:firstLine="560" w:firstLineChars="200"/>
        <w:rPr>
          <w:rFonts w:ascii="宋体" w:hAnsi="宋体"/>
          <w:sz w:val="28"/>
          <w:szCs w:val="28"/>
        </w:rPr>
      </w:pPr>
      <w:r>
        <w:rPr>
          <w:rFonts w:hint="eastAsia" w:ascii="宋体" w:hAnsi="宋体"/>
          <w:sz w:val="28"/>
          <w:szCs w:val="28"/>
        </w:rPr>
        <w:t>1）与《血站管理办法》的关系：本标准适用于一般血站和中国造血干细胞捐献者资料库血小板配合性输注的献血者资料库建库和应用工作，本标准的实施主体部分为《血站管理办法》中的一般血站。</w:t>
      </w:r>
    </w:p>
    <w:p w14:paraId="56EF4F5F">
      <w:pPr>
        <w:ind w:firstLine="560" w:firstLineChars="200"/>
        <w:rPr>
          <w:rFonts w:ascii="宋体" w:hAnsi="宋体"/>
          <w:sz w:val="28"/>
          <w:szCs w:val="28"/>
        </w:rPr>
      </w:pPr>
      <w:r>
        <w:rPr>
          <w:rFonts w:hint="eastAsia" w:ascii="宋体" w:hAnsi="宋体"/>
          <w:sz w:val="28"/>
          <w:szCs w:val="28"/>
        </w:rPr>
        <w:t>2）与《血站技术操作规程》和GB18467《献血者健康检查要求》的关系：《血站技术操作规程》涵盖从献血者健康检查到血液发放与运输的全过程的技术要求，而GB18467《献血者健康检查要求》着重于献血者健康检查，这2个文件均是对献血者的采血过程要求，而本标准是对特殊献血者（即HLA、HPA和CD36等血小板抗原选择性献血者）的要求，本标准在遵循这2个文件的同时，更具有独特性。</w:t>
      </w:r>
    </w:p>
    <w:p w14:paraId="7CA474D8">
      <w:pPr>
        <w:ind w:firstLine="560" w:firstLineChars="200"/>
        <w:rPr>
          <w:rFonts w:ascii="宋体" w:hAnsi="宋体"/>
          <w:sz w:val="28"/>
          <w:szCs w:val="28"/>
        </w:rPr>
      </w:pPr>
      <w:r>
        <w:rPr>
          <w:rFonts w:hint="eastAsia" w:ascii="宋体" w:hAnsi="宋体"/>
          <w:sz w:val="28"/>
          <w:szCs w:val="28"/>
        </w:rPr>
        <w:t>3）与GB18469《全血及成分血质量要求》的关系：《全血及成分血质量要求》对所有血液成分制品的质量要求进行了规定，包括单采血小板成分。本标准主要针对HLA、HPA和CD36选择性的血小板献血者选择，本标准采集的血小板，在满足《全血及成分血质量要求》的同时，附加了该血液成分的血小板抗原/基因的型别特征，具有更多献血者信息。</w:t>
      </w:r>
    </w:p>
    <w:p w14:paraId="12EBBCD4">
      <w:pPr>
        <w:ind w:firstLine="560" w:firstLineChars="200"/>
        <w:rPr>
          <w:rFonts w:ascii="宋体" w:hAnsi="宋体"/>
          <w:sz w:val="28"/>
          <w:szCs w:val="28"/>
        </w:rPr>
      </w:pPr>
      <w:r>
        <w:rPr>
          <w:rFonts w:hint="eastAsia" w:ascii="宋体" w:hAnsi="宋体"/>
          <w:sz w:val="28"/>
          <w:szCs w:val="28"/>
        </w:rPr>
        <w:t>4）与WS/T623-2018《全血和成分血使用》、WS/T622-2018《内科输血》的关系：WS/T623-2018《全血和成分血使用》在6.3.5.2输注原则中指出：血小板输注无效时，可开展血小板配型选择相容性血小板，该标准未指明如何获得相容性血小板；同样，WS/T622-2018《内科输血》的4.2b中指出了HLA配合型单采血小板的输注指征，但未就如何获得HLA配合型血小板作出指南。本标准就是对相容性血小板的献血者资料库建设和临床应用的具体指南，解决了前2个标准中的配合型血小板的来源问题。</w:t>
      </w:r>
    </w:p>
    <w:p w14:paraId="11F973B3">
      <w:pPr>
        <w:ind w:firstLine="560" w:firstLineChars="200"/>
        <w:rPr>
          <w:rFonts w:ascii="宋体" w:hAnsi="宋体"/>
          <w:sz w:val="28"/>
          <w:szCs w:val="28"/>
        </w:rPr>
      </w:pPr>
      <w:r>
        <w:rPr>
          <w:rFonts w:hint="eastAsia" w:ascii="宋体" w:hAnsi="宋体"/>
          <w:sz w:val="28"/>
          <w:szCs w:val="28"/>
        </w:rPr>
        <w:t>本标准在上述法规、标准的基础上，对建立血小板配合性输注的献血者资料库建设和应用进行规范，将有助于数据库建设的标准化和科学性，提升其临床应用以及库间数据共享和跨库联合应用，弥补目前国内相关标准的缺乏。</w:t>
      </w:r>
    </w:p>
    <w:p w14:paraId="67629DA7">
      <w:pPr>
        <w:numPr>
          <w:ilvl w:val="0"/>
          <w:numId w:val="1"/>
        </w:numPr>
        <w:spacing w:line="360" w:lineRule="auto"/>
        <w:rPr>
          <w:rFonts w:ascii="黑体" w:hAnsi="宋体" w:eastAsia="黑体"/>
          <w:sz w:val="28"/>
          <w:szCs w:val="28"/>
        </w:rPr>
      </w:pPr>
      <w:r>
        <w:rPr>
          <w:rFonts w:hint="eastAsia" w:ascii="黑体" w:hAnsi="宋体" w:eastAsia="黑体"/>
          <w:sz w:val="28"/>
          <w:szCs w:val="28"/>
        </w:rPr>
        <w:t>国外相关规定和标准情况的比对说明</w:t>
      </w:r>
    </w:p>
    <w:p w14:paraId="7043E716">
      <w:pPr>
        <w:spacing w:line="360" w:lineRule="auto"/>
        <w:ind w:firstLine="420" w:firstLineChars="150"/>
        <w:rPr>
          <w:rFonts w:ascii="宋体" w:hAnsi="宋体"/>
          <w:sz w:val="28"/>
          <w:szCs w:val="28"/>
        </w:rPr>
      </w:pPr>
      <w:r>
        <w:rPr>
          <w:rFonts w:hint="eastAsia" w:ascii="宋体" w:hAnsi="宋体"/>
          <w:sz w:val="28"/>
          <w:szCs w:val="28"/>
        </w:rPr>
        <w:t>针对血小板献血者HLA、HPA、CD36建库和应用的专门性指南，在目前国外的法律、法规、文件和标准尚未检索到。与国内现有法规类似，欧美发达国家的相关指南主要注重于血小板抗原的基因分型、HLA和HPA配合型血小板的献血者检索策略、临床输注指征等，相关的文献有：</w:t>
      </w:r>
      <w:r>
        <w:rPr>
          <w:rFonts w:hint="eastAsia" w:ascii="宋体" w:hAnsi="宋体"/>
          <w:sz w:val="28"/>
          <w:szCs w:val="28"/>
        </w:rPr>
        <w:tab/>
      </w:r>
      <w:r>
        <w:rPr>
          <w:rFonts w:hint="eastAsia" w:ascii="宋体" w:hAnsi="宋体"/>
          <w:sz w:val="28"/>
          <w:szCs w:val="28"/>
        </w:rPr>
        <w:t>Standards for molecular testing for red cell, platelet, and neutrophil antigens（第</w:t>
      </w:r>
      <w:r>
        <w:rPr>
          <w:rFonts w:ascii="宋体" w:hAnsi="宋体"/>
          <w:sz w:val="28"/>
          <w:szCs w:val="28"/>
        </w:rPr>
        <w:t>7</w:t>
      </w:r>
      <w:r>
        <w:rPr>
          <w:rFonts w:hint="eastAsia" w:ascii="宋体" w:hAnsi="宋体"/>
          <w:sz w:val="28"/>
          <w:szCs w:val="28"/>
        </w:rPr>
        <w:t>版，美国AABB），Technical manual（第</w:t>
      </w:r>
      <w:r>
        <w:rPr>
          <w:rFonts w:ascii="宋体" w:hAnsi="宋体"/>
          <w:sz w:val="28"/>
          <w:szCs w:val="28"/>
        </w:rPr>
        <w:t>21</w:t>
      </w:r>
      <w:r>
        <w:rPr>
          <w:rFonts w:hint="eastAsia" w:ascii="宋体" w:hAnsi="宋体"/>
          <w:sz w:val="28"/>
          <w:szCs w:val="28"/>
        </w:rPr>
        <w:t>版，美国AABB），</w:t>
      </w:r>
      <w:bookmarkStart w:id="0" w:name="OLE_LINK1"/>
      <w:r>
        <w:rPr>
          <w:rFonts w:hint="eastAsia" w:ascii="宋体" w:hAnsi="宋体"/>
          <w:sz w:val="28"/>
          <w:szCs w:val="28"/>
        </w:rPr>
        <w:t>Standards for blood banks and transfusion services</w:t>
      </w:r>
      <w:bookmarkEnd w:id="0"/>
      <w:r>
        <w:rPr>
          <w:rFonts w:hint="eastAsia" w:ascii="宋体" w:hAnsi="宋体"/>
          <w:sz w:val="28"/>
          <w:szCs w:val="28"/>
        </w:rPr>
        <w:t>（第3</w:t>
      </w:r>
      <w:r>
        <w:rPr>
          <w:rFonts w:ascii="宋体" w:hAnsi="宋体"/>
          <w:sz w:val="28"/>
          <w:szCs w:val="28"/>
        </w:rPr>
        <w:t>4</w:t>
      </w:r>
      <w:r>
        <w:rPr>
          <w:rFonts w:hint="eastAsia" w:ascii="宋体" w:hAnsi="宋体"/>
          <w:sz w:val="28"/>
          <w:szCs w:val="28"/>
        </w:rPr>
        <w:t>版，美国AABB）。</w:t>
      </w:r>
    </w:p>
    <w:p w14:paraId="46E5D865">
      <w:pPr>
        <w:spacing w:line="360" w:lineRule="auto"/>
        <w:ind w:firstLine="420" w:firstLineChars="150"/>
        <w:rPr>
          <w:rFonts w:ascii="宋体" w:hAnsi="宋体"/>
          <w:sz w:val="28"/>
          <w:szCs w:val="28"/>
        </w:rPr>
      </w:pPr>
      <w:r>
        <w:rPr>
          <w:rFonts w:hint="eastAsia" w:ascii="宋体" w:hAnsi="宋体"/>
          <w:sz w:val="28"/>
          <w:szCs w:val="28"/>
        </w:rPr>
        <w:t>1）与</w:t>
      </w:r>
      <w:r>
        <w:rPr>
          <w:rFonts w:hint="eastAsia" w:ascii="宋体" w:hAnsi="宋体"/>
          <w:sz w:val="28"/>
          <w:szCs w:val="28"/>
        </w:rPr>
        <w:tab/>
      </w:r>
      <w:r>
        <w:rPr>
          <w:rFonts w:hint="eastAsia" w:ascii="宋体" w:hAnsi="宋体"/>
          <w:sz w:val="28"/>
          <w:szCs w:val="28"/>
        </w:rPr>
        <w:t>Standards for molecular testing for red cell, platelet, and neutrophil antigens（第</w:t>
      </w:r>
      <w:r>
        <w:rPr>
          <w:rFonts w:ascii="宋体" w:hAnsi="宋体"/>
          <w:sz w:val="28"/>
          <w:szCs w:val="28"/>
        </w:rPr>
        <w:t>7</w:t>
      </w:r>
      <w:r>
        <w:rPr>
          <w:rFonts w:hint="eastAsia" w:ascii="宋体" w:hAnsi="宋体"/>
          <w:sz w:val="28"/>
          <w:szCs w:val="28"/>
        </w:rPr>
        <w:t>版，美国AABB）的对比：该AABB标准阐述了红细胞、血小板和中性粒细胞抗原基因分型的技术指南，主要侧重于实验技术层面。而本标准规定了血小板献血者资料库的建库和应用的要求，覆盖献血者选择、标本管理、检测位点和检测方法、资料库信息管理系统、信息数据格式和共享、资料库应用等要素，主要涉及管理和技术层面。</w:t>
      </w:r>
    </w:p>
    <w:p w14:paraId="604DCEE9">
      <w:pPr>
        <w:spacing w:line="360" w:lineRule="auto"/>
        <w:ind w:firstLine="420" w:firstLineChars="150"/>
        <w:rPr>
          <w:rFonts w:ascii="宋体" w:hAnsi="宋体"/>
          <w:sz w:val="28"/>
          <w:szCs w:val="28"/>
        </w:rPr>
      </w:pPr>
      <w:r>
        <w:rPr>
          <w:rFonts w:hint="eastAsia" w:ascii="宋体" w:hAnsi="宋体"/>
          <w:sz w:val="28"/>
          <w:szCs w:val="28"/>
        </w:rPr>
        <w:t>2）与Technical manual（第</w:t>
      </w:r>
      <w:r>
        <w:rPr>
          <w:rFonts w:ascii="宋体" w:hAnsi="宋体"/>
          <w:sz w:val="28"/>
          <w:szCs w:val="28"/>
        </w:rPr>
        <w:t>21</w:t>
      </w:r>
      <w:r>
        <w:rPr>
          <w:rFonts w:hint="eastAsia" w:ascii="宋体" w:hAnsi="宋体"/>
          <w:sz w:val="28"/>
          <w:szCs w:val="28"/>
        </w:rPr>
        <w:t>版，美国AABB）的对比：该AABB技术手册包含了血小板、粒细胞抗原抗体和HLA系统的基础性知识，提出了免疫性和非免疫性血小板减少疾病的输血策略，但未包含HLA、HPA、CD36资料的献血者数据库建设、临床应用、数据共享和信息化管理等内容，而这正是本标准的主体内容。</w:t>
      </w:r>
    </w:p>
    <w:p w14:paraId="69EFEBBE">
      <w:pPr>
        <w:spacing w:line="360" w:lineRule="auto"/>
        <w:ind w:firstLine="420" w:firstLineChars="150"/>
        <w:rPr>
          <w:rFonts w:ascii="宋体" w:hAnsi="宋体"/>
          <w:sz w:val="28"/>
          <w:szCs w:val="28"/>
        </w:rPr>
      </w:pPr>
      <w:r>
        <w:rPr>
          <w:rFonts w:hint="eastAsia" w:ascii="宋体" w:hAnsi="宋体"/>
          <w:sz w:val="28"/>
          <w:szCs w:val="28"/>
        </w:rPr>
        <w:t>3）与Standards for blood banks and transfusion services（第</w:t>
      </w:r>
      <w:r>
        <w:rPr>
          <w:rFonts w:ascii="宋体" w:hAnsi="宋体"/>
          <w:sz w:val="28"/>
          <w:szCs w:val="28"/>
        </w:rPr>
        <w:t>34</w:t>
      </w:r>
      <w:r>
        <w:rPr>
          <w:rFonts w:hint="eastAsia" w:ascii="宋体" w:hAnsi="宋体"/>
          <w:sz w:val="28"/>
          <w:szCs w:val="28"/>
        </w:rPr>
        <w:t>版，美国AABB）的对比：该AABB标准主要是对血库和临床输血的指南性文件，虽然包含献血者招募、血小板采集和临床输注等环节，但缺乏配合型血小板的献血者资料库建设、配合性检索、配型血小板选择等内容，而本标准是对上述内容的专门性描述和指南。</w:t>
      </w:r>
    </w:p>
    <w:p w14:paraId="4F509EF6">
      <w:pPr>
        <w:numPr>
          <w:ilvl w:val="0"/>
          <w:numId w:val="1"/>
        </w:numPr>
        <w:spacing w:line="360" w:lineRule="auto"/>
        <w:rPr>
          <w:rFonts w:ascii="黑体" w:hAnsi="宋体" w:eastAsia="黑体"/>
          <w:sz w:val="28"/>
          <w:szCs w:val="28"/>
        </w:rPr>
      </w:pPr>
      <w:r>
        <w:rPr>
          <w:rFonts w:hint="eastAsia" w:ascii="黑体" w:hAnsi="宋体" w:eastAsia="黑体"/>
          <w:sz w:val="28"/>
          <w:szCs w:val="28"/>
        </w:rPr>
        <w:t>各项技术内容的依据</w:t>
      </w:r>
    </w:p>
    <w:p w14:paraId="79354C57">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1　范围</w:t>
      </w:r>
    </w:p>
    <w:p w14:paraId="028D084F">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规定了用于血小板配合性输注的献血者资料库的献血者筛选、HLA和HPA基因分型、CD36抗原缺失型筛选、资料库管理、临床应用、库间数据联网和共享等要素的要求。本标准适用于一般血站和中国造血干细胞捐献者资料库血小板配合性输注的献血者资料库建库和应用工作。</w:t>
      </w:r>
    </w:p>
    <w:p w14:paraId="5DD0E3FD">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2　规范性引用文件</w:t>
      </w:r>
    </w:p>
    <w:p w14:paraId="5467AAC3">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本标准制订的目的是为血小板配合性输注的献血者资料库建设和应用提供技术指南，与已发布实施的采供血相关标准保持一致。因此，将所适用的相关标准作为本标准的规范性引用文件。</w:t>
      </w:r>
    </w:p>
    <w:p w14:paraId="16A50687">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3　术语和定义</w:t>
      </w:r>
    </w:p>
    <w:p w14:paraId="39E9E9C7">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WS/T 203界定的以及下列术语和定义适用于本标准，本标准另对人类血小板同种抗原进行了定义。</w:t>
      </w:r>
    </w:p>
    <w:p w14:paraId="4D67502C">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4  技术要求</w:t>
      </w:r>
    </w:p>
    <w:p w14:paraId="6373E525">
      <w:pPr>
        <w:ind w:firstLine="560" w:firstLineChars="200"/>
        <w:jc w:val="left"/>
        <w:rPr>
          <w:rFonts w:ascii="宋体" w:hAnsi="宋体" w:cstheme="minorEastAsia"/>
          <w:color w:val="000000"/>
          <w:sz w:val="28"/>
          <w:szCs w:val="28"/>
        </w:rPr>
      </w:pPr>
      <w:r>
        <w:rPr>
          <w:rFonts w:hint="eastAsia" w:ascii="宋体" w:hAnsi="宋体" w:cstheme="minorEastAsia"/>
          <w:color w:val="000000"/>
          <w:sz w:val="28"/>
          <w:szCs w:val="28"/>
        </w:rPr>
        <w:t>本部分主要包括资料库信息管理系统、献血者选择、标本管理、检测位点和方法、信息数据格式和共享、资料库应用等技术要素。为配合性血小板输注的献血者资料库建设和应用提供了管理和技术指南。</w:t>
      </w:r>
    </w:p>
    <w:p w14:paraId="10B9B45F">
      <w:pPr>
        <w:numPr>
          <w:ilvl w:val="0"/>
          <w:numId w:val="1"/>
        </w:numPr>
        <w:spacing w:line="360" w:lineRule="auto"/>
        <w:rPr>
          <w:rFonts w:ascii="黑体" w:hAnsi="宋体" w:eastAsia="黑体"/>
          <w:sz w:val="28"/>
          <w:szCs w:val="28"/>
        </w:rPr>
      </w:pPr>
      <w:r>
        <w:rPr>
          <w:rFonts w:hint="eastAsia" w:ascii="黑体" w:hAnsi="宋体" w:eastAsia="黑体"/>
          <w:sz w:val="28"/>
          <w:szCs w:val="28"/>
        </w:rPr>
        <w:t>征求意见和采纳情况、不采纳的理由</w:t>
      </w:r>
    </w:p>
    <w:p w14:paraId="6D3CC69B">
      <w:pPr>
        <w:widowControl/>
        <w:overflowPunct w:val="0"/>
        <w:autoSpaceDE w:val="0"/>
        <w:autoSpaceDN w:val="0"/>
        <w:adjustRightInd w:val="0"/>
        <w:spacing w:line="360" w:lineRule="auto"/>
        <w:ind w:firstLine="560" w:firstLineChars="200"/>
        <w:textAlignment w:val="baseline"/>
        <w:rPr>
          <w:rFonts w:ascii="宋体" w:hAnsi="宋体"/>
          <w:kern w:val="0"/>
          <w:sz w:val="28"/>
          <w:szCs w:val="28"/>
        </w:rPr>
      </w:pPr>
      <w:r>
        <w:rPr>
          <w:rFonts w:hint="eastAsia" w:ascii="宋体" w:hAnsi="宋体"/>
          <w:kern w:val="0"/>
          <w:sz w:val="28"/>
          <w:szCs w:val="28"/>
        </w:rPr>
        <w:t>无。</w:t>
      </w:r>
      <w:bookmarkStart w:id="1" w:name="_GoBack"/>
      <w:bookmarkEnd w:id="1"/>
    </w:p>
    <w:p w14:paraId="76857591">
      <w:pPr>
        <w:numPr>
          <w:ilvl w:val="0"/>
          <w:numId w:val="1"/>
        </w:numPr>
        <w:spacing w:line="360" w:lineRule="auto"/>
        <w:rPr>
          <w:rFonts w:ascii="黑体" w:hAnsi="宋体" w:eastAsia="黑体"/>
          <w:sz w:val="28"/>
          <w:szCs w:val="28"/>
        </w:rPr>
      </w:pPr>
      <w:r>
        <w:rPr>
          <w:rFonts w:hint="eastAsia" w:ascii="黑体" w:hAnsi="宋体" w:eastAsia="黑体"/>
          <w:sz w:val="28"/>
          <w:szCs w:val="28"/>
        </w:rPr>
        <w:t>重大意见分歧的处理结果和依据</w:t>
      </w:r>
    </w:p>
    <w:p w14:paraId="472A1254">
      <w:pPr>
        <w:widowControl/>
        <w:overflowPunct w:val="0"/>
        <w:autoSpaceDE w:val="0"/>
        <w:autoSpaceDN w:val="0"/>
        <w:adjustRightInd w:val="0"/>
        <w:spacing w:line="360" w:lineRule="auto"/>
        <w:ind w:firstLine="560" w:firstLineChars="200"/>
        <w:textAlignment w:val="baseline"/>
        <w:rPr>
          <w:rFonts w:ascii="宋体" w:hAnsi="宋体"/>
          <w:kern w:val="0"/>
          <w:sz w:val="28"/>
          <w:szCs w:val="28"/>
        </w:rPr>
      </w:pPr>
      <w:r>
        <w:rPr>
          <w:rFonts w:hint="eastAsia" w:ascii="宋体" w:hAnsi="宋体"/>
          <w:kern w:val="0"/>
          <w:sz w:val="28"/>
          <w:szCs w:val="28"/>
        </w:rPr>
        <w:t>无。</w:t>
      </w:r>
    </w:p>
    <w:p w14:paraId="2E7B3C9E">
      <w:pPr>
        <w:numPr>
          <w:ilvl w:val="0"/>
          <w:numId w:val="1"/>
        </w:numPr>
        <w:spacing w:line="360" w:lineRule="auto"/>
        <w:rPr>
          <w:rFonts w:ascii="黑体" w:hAnsi="宋体" w:eastAsia="黑体"/>
          <w:sz w:val="28"/>
          <w:szCs w:val="28"/>
        </w:rPr>
      </w:pPr>
      <w:r>
        <w:rPr>
          <w:rFonts w:hint="eastAsia" w:ascii="黑体" w:hAnsi="宋体" w:eastAsia="黑体"/>
          <w:sz w:val="28"/>
          <w:szCs w:val="28"/>
        </w:rPr>
        <w:t>实施标准的建议</w:t>
      </w:r>
    </w:p>
    <w:p w14:paraId="0B22A8E5">
      <w:pPr>
        <w:spacing w:line="360" w:lineRule="auto"/>
        <w:ind w:firstLine="560" w:firstLineChars="200"/>
        <w:rPr>
          <w:rFonts w:ascii="宋体" w:hAnsi="宋体"/>
          <w:kern w:val="0"/>
          <w:sz w:val="28"/>
          <w:szCs w:val="28"/>
        </w:rPr>
      </w:pPr>
      <w:r>
        <w:rPr>
          <w:rFonts w:hint="eastAsia" w:ascii="宋体" w:hAnsi="宋体"/>
          <w:kern w:val="0"/>
          <w:sz w:val="28"/>
          <w:szCs w:val="28"/>
        </w:rPr>
        <w:t>近年来，我国各地采供血机构陆续开展血小板配合性输注的献血者资料库建设，资料库的临床应用日益加大。本标准对建库过程中的血小板抗原/基因位点选择、H</w:t>
      </w:r>
      <w:r>
        <w:rPr>
          <w:rFonts w:ascii="宋体" w:hAnsi="宋体"/>
          <w:kern w:val="0"/>
          <w:sz w:val="28"/>
          <w:szCs w:val="28"/>
        </w:rPr>
        <w:t>LA</w:t>
      </w:r>
      <w:r>
        <w:rPr>
          <w:rFonts w:hint="eastAsia" w:ascii="宋体" w:hAnsi="宋体"/>
          <w:kern w:val="0"/>
          <w:sz w:val="28"/>
          <w:szCs w:val="28"/>
        </w:rPr>
        <w:t>基因分型分辨率、分型方法、信息化管理，以及临床应用的范畴、检索策略和报告形式等进行了规范。建议通过实施本标准，使国内各地区的资料库建设更规范、标准更统一、应用更广泛，各地资料库的共享也更加顺畅。</w:t>
      </w:r>
    </w:p>
    <w:p w14:paraId="07EA9AFE">
      <w:pPr>
        <w:numPr>
          <w:ilvl w:val="0"/>
          <w:numId w:val="1"/>
        </w:numPr>
        <w:spacing w:line="360" w:lineRule="auto"/>
        <w:rPr>
          <w:rFonts w:ascii="黑体" w:hAnsi="宋体" w:eastAsia="黑体"/>
          <w:sz w:val="28"/>
          <w:szCs w:val="28"/>
        </w:rPr>
      </w:pPr>
      <w:r>
        <w:rPr>
          <w:rFonts w:hint="eastAsia" w:ascii="黑体" w:hAnsi="宋体" w:eastAsia="黑体"/>
          <w:sz w:val="28"/>
          <w:szCs w:val="28"/>
        </w:rPr>
        <w:t>其他应予说明的事项</w:t>
      </w:r>
    </w:p>
    <w:p w14:paraId="3A229D6E">
      <w:pPr>
        <w:widowControl/>
        <w:overflowPunct w:val="0"/>
        <w:autoSpaceDE w:val="0"/>
        <w:autoSpaceDN w:val="0"/>
        <w:adjustRightInd w:val="0"/>
        <w:spacing w:line="360" w:lineRule="auto"/>
        <w:ind w:firstLine="560" w:firstLineChars="200"/>
        <w:textAlignment w:val="baseline"/>
        <w:rPr>
          <w:rFonts w:hint="eastAsia" w:ascii="宋体" w:hAnsi="宋体"/>
          <w:kern w:val="0"/>
          <w:sz w:val="28"/>
          <w:szCs w:val="28"/>
        </w:rPr>
      </w:pPr>
      <w:r>
        <w:rPr>
          <w:rFonts w:hint="eastAsia" w:ascii="宋体" w:hAnsi="宋体"/>
          <w:kern w:val="0"/>
          <w:sz w:val="28"/>
          <w:szCs w:val="28"/>
        </w:rPr>
        <w:t>无。</w:t>
      </w:r>
    </w:p>
    <w:p w14:paraId="1F30FA5B">
      <w:pPr>
        <w:widowControl/>
        <w:overflowPunct w:val="0"/>
        <w:autoSpaceDE w:val="0"/>
        <w:autoSpaceDN w:val="0"/>
        <w:adjustRightInd w:val="0"/>
        <w:spacing w:line="360" w:lineRule="auto"/>
        <w:ind w:firstLine="560" w:firstLineChars="200"/>
        <w:textAlignment w:val="baseline"/>
        <w:rPr>
          <w:rFonts w:hint="eastAsia" w:ascii="宋体" w:hAnsi="宋体"/>
          <w:kern w:val="0"/>
          <w:sz w:val="28"/>
          <w:szCs w:val="28"/>
        </w:rPr>
      </w:pPr>
    </w:p>
    <w:p w14:paraId="562F6DFB">
      <w:pPr>
        <w:widowControl/>
        <w:overflowPunct w:val="0"/>
        <w:autoSpaceDE w:val="0"/>
        <w:autoSpaceDN w:val="0"/>
        <w:adjustRightInd w:val="0"/>
        <w:spacing w:line="360" w:lineRule="auto"/>
        <w:ind w:firstLine="560" w:firstLineChars="200"/>
        <w:jc w:val="right"/>
        <w:textAlignment w:val="baseline"/>
        <w:rPr>
          <w:rFonts w:hint="eastAsia" w:ascii="宋体" w:hAnsi="宋体"/>
          <w:kern w:val="0"/>
          <w:sz w:val="28"/>
          <w:szCs w:val="28"/>
          <w:lang w:eastAsia="zh-CN"/>
        </w:rPr>
      </w:pPr>
      <w:r>
        <w:rPr>
          <w:rFonts w:hint="eastAsia" w:ascii="宋体" w:hAnsi="宋体"/>
          <w:kern w:val="0"/>
          <w:sz w:val="28"/>
          <w:szCs w:val="28"/>
        </w:rPr>
        <w:t xml:space="preserve"> 《血小板配合性输注的献血者资料库规范》</w:t>
      </w:r>
      <w:r>
        <w:rPr>
          <w:rFonts w:hint="eastAsia" w:ascii="宋体" w:hAnsi="宋体"/>
          <w:kern w:val="0"/>
          <w:sz w:val="28"/>
          <w:szCs w:val="28"/>
          <w:lang w:eastAsia="zh-CN"/>
        </w:rPr>
        <w:t>编写小组</w:t>
      </w:r>
    </w:p>
    <w:p w14:paraId="692D1F3C">
      <w:pPr>
        <w:widowControl/>
        <w:overflowPunct w:val="0"/>
        <w:autoSpaceDE w:val="0"/>
        <w:autoSpaceDN w:val="0"/>
        <w:adjustRightInd w:val="0"/>
        <w:spacing w:line="360" w:lineRule="auto"/>
        <w:ind w:firstLine="560" w:firstLineChars="200"/>
        <w:jc w:val="right"/>
        <w:textAlignment w:val="baseline"/>
        <w:rPr>
          <w:rFonts w:hint="default" w:ascii="宋体" w:hAnsi="宋体"/>
          <w:kern w:val="0"/>
          <w:sz w:val="28"/>
          <w:szCs w:val="28"/>
          <w:lang w:val="en-US" w:eastAsia="zh-CN"/>
        </w:rPr>
      </w:pPr>
      <w:r>
        <w:rPr>
          <w:rFonts w:hint="eastAsia" w:ascii="宋体" w:hAnsi="宋体"/>
          <w:kern w:val="0"/>
          <w:sz w:val="28"/>
          <w:szCs w:val="28"/>
          <w:lang w:val="en-US" w:eastAsia="zh-CN"/>
        </w:rPr>
        <w:t>2025年7月25日</w:t>
      </w:r>
    </w:p>
    <w:p w14:paraId="0FF4887A">
      <w:pPr>
        <w:spacing w:line="360" w:lineRule="auto"/>
        <w:jc w:val="right"/>
      </w:pPr>
    </w:p>
    <w:sectPr>
      <w:pgSz w:w="11906" w:h="16838"/>
      <w:pgMar w:top="1440" w:right="1416"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83" w:usb1="2BDF3C10" w:usb2="00000016" w:usb3="00000000" w:csb0="602E0107" w:csb1="00000000"/>
  </w:font>
  <w:font w:name="长城小标宋体">
    <w:altName w:val="方正小标宋简体"/>
    <w:panose1 w:val="00000000000000000000"/>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79CE7C"/>
    <w:multiLevelType w:val="singleLevel"/>
    <w:tmpl w:val="2C79CE7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wNjEwOGNkMTUxOGVlYmJhYmIwYmRlNjAxZWZmZDYifQ=="/>
  </w:docVars>
  <w:rsids>
    <w:rsidRoot w:val="009C775F"/>
    <w:rsid w:val="00013FAC"/>
    <w:rsid w:val="000176EF"/>
    <w:rsid w:val="000D1319"/>
    <w:rsid w:val="00120AF6"/>
    <w:rsid w:val="001234D6"/>
    <w:rsid w:val="0014064B"/>
    <w:rsid w:val="001930E7"/>
    <w:rsid w:val="0020370E"/>
    <w:rsid w:val="002409EA"/>
    <w:rsid w:val="002507D3"/>
    <w:rsid w:val="00267C04"/>
    <w:rsid w:val="00294F4E"/>
    <w:rsid w:val="002B5608"/>
    <w:rsid w:val="002B64AF"/>
    <w:rsid w:val="002C44E0"/>
    <w:rsid w:val="002E233E"/>
    <w:rsid w:val="00316B5D"/>
    <w:rsid w:val="00335048"/>
    <w:rsid w:val="0035509B"/>
    <w:rsid w:val="00356FA4"/>
    <w:rsid w:val="00373AEC"/>
    <w:rsid w:val="00395B75"/>
    <w:rsid w:val="003B588F"/>
    <w:rsid w:val="003D6997"/>
    <w:rsid w:val="00413938"/>
    <w:rsid w:val="00413CD4"/>
    <w:rsid w:val="00423050"/>
    <w:rsid w:val="004316A6"/>
    <w:rsid w:val="00446CEF"/>
    <w:rsid w:val="004A1A76"/>
    <w:rsid w:val="004E5D87"/>
    <w:rsid w:val="0050528F"/>
    <w:rsid w:val="00527E03"/>
    <w:rsid w:val="005F0256"/>
    <w:rsid w:val="005F3A6A"/>
    <w:rsid w:val="00635991"/>
    <w:rsid w:val="00721D53"/>
    <w:rsid w:val="00756755"/>
    <w:rsid w:val="007F69A2"/>
    <w:rsid w:val="00834B38"/>
    <w:rsid w:val="008619F4"/>
    <w:rsid w:val="0087137C"/>
    <w:rsid w:val="008841B5"/>
    <w:rsid w:val="008B28FA"/>
    <w:rsid w:val="008D6384"/>
    <w:rsid w:val="008E4B5A"/>
    <w:rsid w:val="009475DE"/>
    <w:rsid w:val="00984193"/>
    <w:rsid w:val="009B15B4"/>
    <w:rsid w:val="009B5A5F"/>
    <w:rsid w:val="009C775F"/>
    <w:rsid w:val="00AA687D"/>
    <w:rsid w:val="00AB1644"/>
    <w:rsid w:val="00AD56E0"/>
    <w:rsid w:val="00B536BF"/>
    <w:rsid w:val="00B61E4F"/>
    <w:rsid w:val="00B805C0"/>
    <w:rsid w:val="00BD3867"/>
    <w:rsid w:val="00C11D3F"/>
    <w:rsid w:val="00C36C44"/>
    <w:rsid w:val="00C36FE4"/>
    <w:rsid w:val="00C62A92"/>
    <w:rsid w:val="00C67D5B"/>
    <w:rsid w:val="00C90AC4"/>
    <w:rsid w:val="00CB02FC"/>
    <w:rsid w:val="00CD026B"/>
    <w:rsid w:val="00CE39CF"/>
    <w:rsid w:val="00D322B1"/>
    <w:rsid w:val="00D40DD1"/>
    <w:rsid w:val="00D4151B"/>
    <w:rsid w:val="00D60221"/>
    <w:rsid w:val="00D90889"/>
    <w:rsid w:val="00DB7F9F"/>
    <w:rsid w:val="00DF081C"/>
    <w:rsid w:val="00E24645"/>
    <w:rsid w:val="00E42538"/>
    <w:rsid w:val="00F60DBA"/>
    <w:rsid w:val="00F82569"/>
    <w:rsid w:val="00FB59EE"/>
    <w:rsid w:val="00FB5D1D"/>
    <w:rsid w:val="3F2F12C5"/>
    <w:rsid w:val="551870DA"/>
    <w:rsid w:val="59C82D39"/>
    <w:rsid w:val="5F7C65B8"/>
    <w:rsid w:val="75963DC0"/>
    <w:rsid w:val="7DB8C4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tabs>
        <w:tab w:val="center" w:pos="4153"/>
        <w:tab w:val="right" w:pos="8306"/>
      </w:tabs>
      <w:snapToGrid w:val="0"/>
      <w:jc w:val="center"/>
    </w:pPr>
    <w:rPr>
      <w:sz w:val="18"/>
      <w:szCs w:val="18"/>
    </w:rPr>
  </w:style>
  <w:style w:type="table" w:styleId="5">
    <w:name w:val="Table Grid"/>
    <w:basedOn w:val="4"/>
    <w:qFormat/>
    <w:uiPriority w:val="5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annotation reference"/>
    <w:unhideWhenUsed/>
    <w:qFormat/>
    <w:uiPriority w:val="99"/>
    <w:rPr>
      <w:sz w:val="21"/>
      <w:szCs w:val="21"/>
    </w:rPr>
  </w:style>
  <w:style w:type="character" w:customStyle="1" w:styleId="8">
    <w:name w:val="页脚 字符"/>
    <w:link w:val="2"/>
    <w:qFormat/>
    <w:uiPriority w:val="0"/>
    <w:rPr>
      <w:rFonts w:ascii="Times New Roman" w:hAnsi="Times New Roman"/>
      <w:kern w:val="2"/>
      <w:sz w:val="18"/>
      <w:szCs w:val="18"/>
    </w:rPr>
  </w:style>
  <w:style w:type="character" w:customStyle="1" w:styleId="9">
    <w:name w:val="页眉 字符"/>
    <w:link w:val="3"/>
    <w:qFormat/>
    <w:uiPriority w:val="0"/>
    <w:rPr>
      <w:rFonts w:ascii="Times New Roman" w:hAnsi="Times New Roman"/>
      <w:kern w:val="2"/>
      <w:sz w:val="18"/>
      <w:szCs w:val="18"/>
    </w:rPr>
  </w:style>
  <w:style w:type="paragraph" w:customStyle="1" w:styleId="10">
    <w:name w:val="段"/>
    <w:link w:val="11"/>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1">
    <w:name w:val="段 Char"/>
    <w:link w:val="10"/>
    <w:qFormat/>
    <w:uiPriority w:val="99"/>
    <w:rPr>
      <w:rFonts w:ascii="宋体" w:hAnsi="Times New Roman"/>
      <w:sz w:val="21"/>
      <w:lang w:val="en-US" w:eastAsia="zh-CN"/>
    </w:rPr>
  </w:style>
  <w:style w:type="paragraph" w:styleId="12">
    <w:name w:val="List Paragraph"/>
    <w:basedOn w:val="1"/>
    <w:qFormat/>
    <w:uiPriority w:val="34"/>
    <w:pPr>
      <w:ind w:firstLine="420" w:firstLineChars="200"/>
    </w:pPr>
  </w:style>
  <w:style w:type="paragraph" w:customStyle="1" w:styleId="13">
    <w:name w:val="Table Paragraph"/>
    <w:basedOn w:val="1"/>
    <w:qFormat/>
    <w:uiPriority w:val="1"/>
    <w:rPr>
      <w:rFonts w:ascii="宋体" w:hAnsi="宋体" w:cs="宋体"/>
      <w:szCs w:val="2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538</Words>
  <Characters>3069</Characters>
  <Lines>25</Lines>
  <Paragraphs>7</Paragraphs>
  <TotalTime>0</TotalTime>
  <ScaleCrop>false</ScaleCrop>
  <LinksUpToDate>false</LinksUpToDate>
  <CharactersWithSpaces>3600</CharactersWithSpaces>
  <Application>WPS Office_12.8.2.21176_F1E327BC-269C-435d-A152-05C5408002CA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2025-07-16T23:32:00Z</dcterms:created>
  <dc:creator>Administrator</dc:creator>
  <cp:lastModifiedBy>邱颖婕</cp:lastModifiedBy>
  <dcterms:modified xsi:type="dcterms:W3CDTF">2025-07-21T16:13:49Z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2052-12.8.2.21176</vt:lpwstr>
  </property>
  <property fmtid="{D5CDD505-2E9C-101B-9397-08002B2CF9AE}" pid="3" name="ICV">
    <vt:lpwstr>F826FC686AC74433938B3AF158DC54D0_12</vt:lpwstr>
  </property>
</Properties>
</file>