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11.020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8"/>
              <w:tblpPr w:vertAnchor="page" w:horzAnchor="margin" w:tblpX="1" w:tblpY="341"/>
              <w:tblOverlap w:val="never"/>
              <w:tblW w:w="9242"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Ex>
              <w:trPr>
                <w:trHeight w:val="1021" w:hRule="exact"/>
              </w:trPr>
              <w:tc>
                <w:tcPr>
                  <w:tcW w:w="9242" w:type="dxa"/>
                  <w:vAlign w:val="center"/>
                </w:tcPr>
                <w:p>
                  <w:pPr>
                    <w:pStyle w:val="50"/>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CSBT</w:t>
                  </w:r>
                  <w:r>
                    <w:fldChar w:fldCharType="end"/>
                  </w:r>
                  <w:bookmarkEnd w:id="1"/>
                </w:p>
              </w:tc>
            </w:tr>
          </w:tbl>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C05</w:t>
            </w:r>
            <w:r>
              <w:rPr>
                <w:rFonts w:ascii="黑体" w:hAnsi="黑体" w:eastAsia="黑体"/>
                <w:sz w:val="21"/>
                <w:szCs w:val="21"/>
              </w:rPr>
              <w:fldChar w:fldCharType="end"/>
            </w:r>
            <w:bookmarkEnd w:id="2"/>
          </w:p>
        </w:tc>
      </w:tr>
    </w:tbl>
    <w:p>
      <w:pPr>
        <w:pStyle w:val="51"/>
        <w:framePr w:w="9639" w:h="624" w:hRule="exact" w:hSpace="181" w:vSpace="181"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中国</w:t>
      </w:r>
      <w:r>
        <w:rPr>
          <w:rFonts w:ascii="黑体" w:eastAsia="黑体"/>
          <w:b w:val="0"/>
          <w:w w:val="100"/>
          <w:sz w:val="48"/>
        </w:rPr>
        <w:t>输血协会</w:t>
      </w:r>
      <w:r>
        <w:rPr>
          <w:rFonts w:ascii="黑体" w:eastAsia="黑体"/>
          <w:b w:val="0"/>
          <w:w w:val="100"/>
          <w:sz w:val="48"/>
        </w:rPr>
        <w:fldChar w:fldCharType="end"/>
      </w:r>
      <w:bookmarkEnd w:id="4"/>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pPr>
        <w:pStyle w:val="196"/>
        <w:framePr/>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Pr>
          <w:rFonts w:hint="eastAsia"/>
        </w:rPr>
        <w:t>CSBT</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rPr>
          <w:rFonts w:hint="eastAsia"/>
        </w:rPr>
        <w:t>010</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rPr>
          <w:rFonts w:hint="eastAsia"/>
        </w:rPr>
        <w:t>2025</w:t>
      </w:r>
      <w:r>
        <w:fldChar w:fldCharType="end"/>
      </w:r>
      <w:bookmarkEnd w:id="7"/>
    </w:p>
    <w:p>
      <w:pPr>
        <w:pStyle w:val="197"/>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J3+I8zYAAAADAEAAA8AAAAAAAAAAQAgAAAAIgAAAGRycy9k&#10;b3ducmV2LnhtbFBLAQIUABQAAAAIAIdO4kAiPcYDyQEAAF4DAAAOAAAAAAAAAAEAIAAAACcBAABk&#10;cnMvZTJvRG9jLnhtbFBLBQYAAAAABgAGAFkBAABiBQAAAAA=&#10;">
                <v:fill on="f" focussize="0,0"/>
                <v:stroke color="#000000" joinstyle="round"/>
                <v:imagedata o:title=""/>
                <o:lock v:ext="edit" aspectratio="f"/>
              </v:line>
            </w:pict>
          </mc:Fallback>
        </mc:AlternateContent>
      </w:r>
    </w:p>
    <w:p>
      <w:pPr>
        <w:pStyle w:val="51"/>
        <w:framePr w:w="9639" w:h="6976" w:hRule="exact" w:hSpace="0" w:vSpace="0" w:hAnchor="page" w:y="6408"/>
        <w:jc w:val="center"/>
        <w:rPr>
          <w:rFonts w:ascii="黑体" w:hAnsi="黑体" w:eastAsia="黑体"/>
          <w:b w:val="0"/>
          <w:bCs w:val="0"/>
          <w:w w:val="100"/>
        </w:rPr>
      </w:pPr>
    </w:p>
    <w:p>
      <w:pPr>
        <w:pStyle w:val="198"/>
        <w:framePr w:h="6974" w:hRule="exact"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血小板配合性输注的献血者资料库规范</w:t>
      </w:r>
      <w:r>
        <w:fldChar w:fldCharType="end"/>
      </w:r>
      <w:bookmarkEnd w:id="9"/>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Regulation of blood donor database for platelet matching transfusion</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bookmarkStart w:id="130" w:name="_GoBack"/>
      <w:bookmarkEnd w:id="130"/>
      <w:r>
        <w:rPr>
          <w:rFonts w:hint="eastAsia"/>
          <w:sz w:val="21"/>
          <w:szCs w:val="28"/>
        </w:rPr>
        <w:t>（本草案完成时间：2025/0</w:t>
      </w:r>
      <w:r>
        <w:rPr>
          <w:rFonts w:hint="eastAsia"/>
          <w:sz w:val="21"/>
          <w:szCs w:val="28"/>
          <w:lang w:val="en-US" w:eastAsia="zh-CN"/>
        </w:rPr>
        <w:t>7</w:t>
      </w:r>
      <w:r>
        <w:rPr>
          <w:rFonts w:hint="eastAsia"/>
          <w:sz w:val="21"/>
          <w:szCs w:val="28"/>
        </w:rPr>
        <w:t>/</w:t>
      </w:r>
      <w:r>
        <w:rPr>
          <w:rFonts w:hint="eastAsia"/>
          <w:sz w:val="21"/>
          <w:szCs w:val="28"/>
          <w:lang w:val="en-US" w:eastAsia="zh-CN"/>
        </w:rPr>
        <w:t>21</w:t>
      </w:r>
      <w:r>
        <w:rPr>
          <w:rFonts w:hint="eastAsia"/>
          <w:sz w:val="21"/>
          <w:szCs w:val="28"/>
        </w:rPr>
        <w:t>）</w:t>
      </w:r>
      <w:r>
        <w:rPr>
          <w:sz w:val="21"/>
          <w:szCs w:val="28"/>
        </w:rPr>
        <w:fldChar w:fldCharType="end"/>
      </w:r>
      <w:bookmarkEnd w:id="12"/>
    </w:p>
    <w:p>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4"/>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5"/>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2"/>
        <w:framePr w:h="584" w:hRule="exact" w:hSpace="181" w:vSpace="181"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中国</w:t>
      </w:r>
      <w:r>
        <w:rPr>
          <w:rFonts w:hAnsi="黑体"/>
          <w:w w:val="100"/>
          <w:sz w:val="28"/>
        </w:rPr>
        <w:t>输血协会</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4" w:type="first"/>
          <w:footerReference r:id="rId6" w:type="first"/>
          <w:headerReference r:id="rId3" w:type="default"/>
          <w:footerReference r:id="rId5" w:type="even"/>
          <w:type w:val="continuous"/>
          <w:pgSz w:w="11906" w:h="16838"/>
          <w:pgMar w:top="567" w:right="1134" w:bottom="1134" w:left="1134" w:header="1418" w:footer="1134" w:gutter="284"/>
          <w:cols w:space="425"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9252585</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mp0YvXAAAADgEAAA8AAAAAAAAAAQAgAAAAIgAAAGRycy9kb3du&#10;cmV2LnhtbFBLAQIUABQAAAAIAIdO4kDwxhcxxwEAAFwDAAAOAAAAAAAAAAEAIAAAACYBAABkcnMv&#10;ZTJvRG9jLnhtbFBLBQYAAAAABgAGAFkBAABfBQAAAAA=&#10;">
                <v:fill on="f" focussize="0,0"/>
                <v:stroke color="#000000" joinstyle="round"/>
                <v:imagedata o:title=""/>
                <o:lock v:ext="edit" aspectratio="f"/>
                <w10:anchorlock/>
              </v:line>
            </w:pict>
          </mc:Fallback>
        </mc:AlternateContent>
      </w:r>
    </w:p>
    <w:p>
      <w:pPr>
        <w:pStyle w:val="92"/>
        <w:spacing w:after="360"/>
      </w:pPr>
      <w:bookmarkStart w:id="21" w:name="BookMark1"/>
      <w:bookmarkStart w:id="22" w:name="_Toc63768469"/>
      <w:bookmarkStart w:id="23" w:name="_Toc63668175"/>
      <w:bookmarkStart w:id="24" w:name="_Toc63668749"/>
      <w:bookmarkStart w:id="25" w:name="_Toc63668854"/>
      <w:bookmarkStart w:id="26" w:name="_Toc63670580"/>
      <w:bookmarkStart w:id="27" w:name="_Toc63668865"/>
      <w:bookmarkStart w:id="28" w:name="_Toc63667085"/>
      <w:bookmarkStart w:id="29" w:name="_Toc63604331"/>
      <w:bookmarkStart w:id="30" w:name="_Toc63667979"/>
      <w:bookmarkStart w:id="31" w:name="_Toc63667101"/>
      <w:bookmarkStart w:id="32" w:name="_Toc63768542"/>
      <w:bookmarkStart w:id="33" w:name="_Toc63768654"/>
      <w:r>
        <w:rPr>
          <w:rFonts w:hint="eastAsia"/>
          <w:spacing w:val="320"/>
        </w:rPr>
        <w:t>目</w:t>
      </w:r>
      <w:r>
        <w:rPr>
          <w:rFonts w:hint="eastAsia"/>
        </w:rPr>
        <w:t>次</w:t>
      </w:r>
    </w:p>
    <w:p>
      <w:pPr>
        <w:pStyle w:val="20"/>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"_Toc63769326" </w:instrText>
      </w:r>
      <w:r>
        <w:fldChar w:fldCharType="separate"/>
      </w:r>
      <w:r>
        <w:rPr>
          <w:rStyle w:val="33"/>
          <w:rFonts w:hint="eastAsia"/>
        </w:rPr>
        <w:t>前言</w:t>
      </w:r>
      <w:r>
        <w:tab/>
      </w:r>
      <w:r>
        <w:fldChar w:fldCharType="begin"/>
      </w:r>
      <w:r>
        <w:instrText xml:space="preserve"> PAGEREF _Toc63769326 \h </w:instrText>
      </w:r>
      <w:r>
        <w:fldChar w:fldCharType="separate"/>
      </w:r>
      <w:r>
        <w:t>II</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"_Toc63769327" </w:instrText>
      </w:r>
      <w:r>
        <w:fldChar w:fldCharType="separate"/>
      </w:r>
      <w:r>
        <w:rPr>
          <w:rStyle w:val="33"/>
        </w:rPr>
        <w:t xml:space="preserve">1 </w:t>
      </w:r>
      <w:r>
        <w:rPr>
          <w:rStyle w:val="33"/>
          <w:rFonts w:hint="eastAsia"/>
        </w:rPr>
        <w:t xml:space="preserve"> 范围</w:t>
      </w:r>
      <w:r>
        <w:tab/>
      </w:r>
      <w:r>
        <w:fldChar w:fldCharType="begin"/>
      </w:r>
      <w:r>
        <w:instrText xml:space="preserve"> PAGEREF _Toc63769327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"_Toc63769328" </w:instrText>
      </w:r>
      <w:r>
        <w:fldChar w:fldCharType="separate"/>
      </w:r>
      <w:r>
        <w:rPr>
          <w:rStyle w:val="33"/>
        </w:rPr>
        <w:t xml:space="preserve">2 </w:t>
      </w:r>
      <w:r>
        <w:rPr>
          <w:rStyle w:val="33"/>
          <w:rFonts w:hint="eastAsia"/>
        </w:rPr>
        <w:t xml:space="preserve"> 规范性引用文件</w:t>
      </w:r>
      <w:r>
        <w:tab/>
      </w:r>
      <w:r>
        <w:fldChar w:fldCharType="begin"/>
      </w:r>
      <w:r>
        <w:instrText xml:space="preserve"> PAGEREF _Toc63769328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"_Toc63769329" </w:instrText>
      </w:r>
      <w:r>
        <w:fldChar w:fldCharType="separate"/>
      </w:r>
      <w:r>
        <w:rPr>
          <w:rStyle w:val="33"/>
        </w:rPr>
        <w:t xml:space="preserve">3 </w:t>
      </w:r>
      <w:r>
        <w:rPr>
          <w:rStyle w:val="33"/>
          <w:rFonts w:hint="eastAsia"/>
        </w:rPr>
        <w:t xml:space="preserve"> 术语和定义</w:t>
      </w:r>
      <w:r>
        <w:tab/>
      </w:r>
      <w:r>
        <w:fldChar w:fldCharType="begin"/>
      </w:r>
      <w:r>
        <w:instrText xml:space="preserve"> PAGEREF _Toc63769329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"_Toc63769330" </w:instrText>
      </w:r>
      <w:r>
        <w:fldChar w:fldCharType="separate"/>
      </w:r>
      <w:r>
        <w:rPr>
          <w:rStyle w:val="33"/>
        </w:rPr>
        <w:t xml:space="preserve">4 </w:t>
      </w:r>
      <w:r>
        <w:rPr>
          <w:rStyle w:val="33"/>
          <w:rFonts w:hint="eastAsia"/>
        </w:rPr>
        <w:t xml:space="preserve"> 技术要求</w:t>
      </w:r>
      <w:r>
        <w:tab/>
      </w:r>
      <w:r>
        <w:fldChar w:fldCharType="begin"/>
      </w:r>
      <w:r>
        <w:instrText xml:space="preserve"> PAGEREF _Toc63769330 \h </w:instrText>
      </w:r>
      <w:r>
        <w:fldChar w:fldCharType="separate"/>
      </w:r>
      <w:r>
        <w:t>1</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"_Toc63769331" </w:instrText>
      </w:r>
      <w:r>
        <w:fldChar w:fldCharType="separate"/>
      </w:r>
      <w:r>
        <w:rPr>
          <w:rStyle w:val="33"/>
          <w:rFonts w:hint="eastAsia"/>
        </w:rPr>
        <w:t>附录A（资料性）</w:t>
      </w:r>
      <w:r>
        <w:rPr>
          <w:rStyle w:val="33"/>
        </w:rPr>
        <w:t xml:space="preserve">  HLA I</w:t>
      </w:r>
      <w:r>
        <w:rPr>
          <w:rStyle w:val="33"/>
          <w:rFonts w:hint="eastAsia"/>
        </w:rPr>
        <w:t>类抗原交叉反应组</w:t>
      </w:r>
      <w:r>
        <w:tab/>
      </w:r>
      <w:r>
        <w:fldChar w:fldCharType="begin"/>
      </w:r>
      <w:r>
        <w:instrText xml:space="preserve"> PAGEREF _Toc63769331 \h </w:instrText>
      </w:r>
      <w:r>
        <w:fldChar w:fldCharType="separate"/>
      </w:r>
      <w:r>
        <w:t>5</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"_Toc63769332" </w:instrText>
      </w:r>
      <w:r>
        <w:fldChar w:fldCharType="separate"/>
      </w:r>
      <w:r>
        <w:rPr>
          <w:rStyle w:val="33"/>
          <w:rFonts w:hint="eastAsia"/>
        </w:rPr>
        <w:t>附录B（资料性）</w:t>
      </w:r>
      <w:r>
        <w:rPr>
          <w:rStyle w:val="33"/>
        </w:rPr>
        <w:t xml:space="preserve">  </w:t>
      </w:r>
      <w:r>
        <w:rPr>
          <w:rStyle w:val="33"/>
          <w:rFonts w:hint="eastAsia"/>
        </w:rPr>
        <w:t>供受者</w:t>
      </w:r>
      <w:r>
        <w:rPr>
          <w:rStyle w:val="33"/>
        </w:rPr>
        <w:t>HLA</w:t>
      </w:r>
      <w:r>
        <w:rPr>
          <w:rStyle w:val="33"/>
          <w:rFonts w:hint="eastAsia"/>
        </w:rPr>
        <w:t>抗原</w:t>
      </w:r>
      <w:r>
        <w:rPr>
          <w:rStyle w:val="33"/>
        </w:rPr>
        <w:t>CREG</w:t>
      </w:r>
      <w:r>
        <w:rPr>
          <w:rStyle w:val="33"/>
          <w:rFonts w:hint="eastAsia"/>
        </w:rPr>
        <w:t>配合等级</w:t>
      </w:r>
      <w:r>
        <w:tab/>
      </w:r>
      <w:r>
        <w:fldChar w:fldCharType="begin"/>
      </w:r>
      <w:r>
        <w:instrText xml:space="preserve"> PAGEREF _Toc63769332 \h </w:instrText>
      </w:r>
      <w:r>
        <w:fldChar w:fldCharType="separate"/>
      </w:r>
      <w:r>
        <w:t>6</w:t>
      </w:r>
      <w:r>
        <w:fldChar w:fldCharType="end"/>
      </w:r>
      <w:r>
        <w:fldChar w:fldCharType="end"/>
      </w:r>
    </w:p>
    <w:p>
      <w:pPr>
        <w:pStyle w:val="20"/>
        <w:tabs>
          <w:tab w:val="right" w:leader="dot" w:pos="9344"/>
        </w:tabs>
        <w:rPr>
          <w:rFonts w:asciiTheme="minorHAnsi" w:hAnsiTheme="minorHAnsi" w:eastAsiaTheme="minorEastAsia" w:cstheme="minorBidi"/>
          <w:szCs w:val="22"/>
        </w:rPr>
      </w:pPr>
      <w:r>
        <w:fldChar w:fldCharType="begin"/>
      </w:r>
      <w:r>
        <w:instrText xml:space="preserve"> HYPERLINK \l "_Toc63769333" </w:instrText>
      </w:r>
      <w:r>
        <w:fldChar w:fldCharType="separate"/>
      </w:r>
      <w:r>
        <w:rPr>
          <w:rStyle w:val="33"/>
          <w:rFonts w:hint="eastAsia"/>
        </w:rPr>
        <w:t>参考文献</w:t>
      </w:r>
      <w:r>
        <w:tab/>
      </w:r>
      <w:r>
        <w:fldChar w:fldCharType="begin"/>
      </w:r>
      <w:r>
        <w:instrText xml:space="preserve"> PAGEREF _Toc63769333 \h </w:instrText>
      </w:r>
      <w:r>
        <w:fldChar w:fldCharType="separate"/>
      </w:r>
      <w:r>
        <w:t>7</w:t>
      </w:r>
      <w:r>
        <w:fldChar w:fldCharType="end"/>
      </w:r>
      <w:r>
        <w:fldChar w:fldCharType="end"/>
      </w:r>
    </w:p>
    <w:p>
      <w:pPr>
        <w:pStyle w:val="92"/>
        <w:spacing w:after="360"/>
        <w:sectPr>
          <w:headerReference r:id="rId7" w:type="default"/>
          <w:footerReference r:id="rId9" w:type="default"/>
          <w:headerReference r:id="rId8" w:type="even"/>
          <w:footerReference r:id="rId10" w:type="even"/>
          <w:pgSz w:w="11906" w:h="16838"/>
          <w:pgMar w:top="567" w:right="1134" w:bottom="1134" w:left="1134" w:header="1418" w:footer="1134" w:gutter="284"/>
          <w:pgNumType w:fmt="upperRoman" w:start="1"/>
          <w:cols w:space="425" w:num="1"/>
          <w:formProt w:val="0"/>
          <w:docGrid w:linePitch="312" w:charSpace="0"/>
        </w:sectPr>
      </w:pPr>
      <w:r>
        <w:fldChar w:fldCharType="end"/>
      </w:r>
    </w:p>
    <w:bookmarkEnd w:id="21"/>
    <w:p>
      <w:pPr>
        <w:pStyle w:val="90"/>
        <w:spacing w:after="360"/>
      </w:pPr>
      <w:bookmarkStart w:id="34" w:name="_Toc63769326"/>
      <w:bookmarkStart w:id="35" w:name="BookMark2"/>
      <w:r>
        <w:rPr>
          <w:spacing w:val="320"/>
        </w:rPr>
        <w:t>前</w:t>
      </w:r>
      <w:r>
        <w:t>言</w:t>
      </w:r>
      <w:bookmarkEnd w:id="22"/>
      <w:bookmarkEnd w:id="23"/>
      <w:bookmarkEnd w:id="24"/>
      <w:bookmarkEnd w:id="25"/>
      <w:bookmarkEnd w:id="26"/>
      <w:bookmarkEnd w:id="27"/>
      <w:bookmarkEnd w:id="28"/>
      <w:bookmarkEnd w:id="29"/>
      <w:bookmarkEnd w:id="30"/>
      <w:bookmarkEnd w:id="31"/>
      <w:bookmarkEnd w:id="32"/>
      <w:bookmarkEnd w:id="33"/>
      <w:bookmarkEnd w:id="34"/>
    </w:p>
    <w:p>
      <w:pPr>
        <w:pStyle w:val="57"/>
        <w:ind w:firstLine="420"/>
        <w:rPr>
          <w:szCs w:val="22"/>
        </w:rPr>
      </w:pPr>
      <w:r>
        <w:rPr>
          <w:rFonts w:hint="eastAsia"/>
          <w:szCs w:val="22"/>
        </w:rPr>
        <w:t>本标准按照GB/T 1.1—2020《标准化工作导则  第1部分：标准化文件的结构和起草规则》的规定起草。</w:t>
      </w:r>
    </w:p>
    <w:p>
      <w:pPr>
        <w:pStyle w:val="57"/>
        <w:ind w:firstLine="420"/>
        <w:rPr>
          <w:szCs w:val="22"/>
        </w:rPr>
      </w:pPr>
      <w:r>
        <w:rPr>
          <w:rFonts w:hint="eastAsia"/>
          <w:szCs w:val="22"/>
        </w:rPr>
        <w:t>请注意本标准的某些内容可能涉及专利。本标准发布机构不承担识别这些专利的责任。</w:t>
      </w:r>
    </w:p>
    <w:p>
      <w:pPr>
        <w:pStyle w:val="57"/>
        <w:ind w:firstLine="420"/>
        <w:rPr>
          <w:szCs w:val="22"/>
        </w:rPr>
      </w:pPr>
      <w:r>
        <w:rPr>
          <w:rFonts w:hint="eastAsia"/>
          <w:szCs w:val="22"/>
        </w:rPr>
        <w:t>本标准代替T/CSBT 010—2021《血小板配合性输注的献血者资料库建设规范》，与T/CSBT 010—2021相比，除结果调整和编辑性改动外，主要技术变化如下：</w:t>
      </w:r>
    </w:p>
    <w:p>
      <w:pPr>
        <w:pStyle w:val="57"/>
        <w:ind w:firstLine="420"/>
        <w:rPr>
          <w:szCs w:val="22"/>
        </w:rPr>
      </w:pPr>
      <w:r>
        <w:rPr>
          <w:rFonts w:hint="eastAsia"/>
          <w:szCs w:val="22"/>
        </w:rPr>
        <w:t>——更改了本标准的3 术语和定义（见3.1，2021年版的3.1、3.2、3.3、3.4、3.5、3.6）；</w:t>
      </w:r>
    </w:p>
    <w:p>
      <w:pPr>
        <w:pStyle w:val="57"/>
        <w:ind w:firstLine="420"/>
        <w:rPr>
          <w:szCs w:val="22"/>
        </w:rPr>
      </w:pPr>
      <w:r>
        <w:rPr>
          <w:rFonts w:hint="eastAsia"/>
          <w:szCs w:val="22"/>
        </w:rPr>
        <w:t>——更改了4.1.4（见4.1.4，2021年版的4.1.4）；</w:t>
      </w:r>
    </w:p>
    <w:p>
      <w:pPr>
        <w:pStyle w:val="57"/>
        <w:ind w:firstLine="420"/>
        <w:rPr>
          <w:szCs w:val="22"/>
        </w:rPr>
      </w:pPr>
      <w:r>
        <w:rPr>
          <w:rFonts w:hint="eastAsia"/>
          <w:szCs w:val="22"/>
        </w:rPr>
        <w:t>——更改了4.1.6（见4.1.6，2021年版的4.1.6）；</w:t>
      </w:r>
    </w:p>
    <w:p>
      <w:pPr>
        <w:pStyle w:val="57"/>
        <w:ind w:firstLine="420"/>
        <w:rPr>
          <w:szCs w:val="22"/>
        </w:rPr>
      </w:pPr>
      <w:r>
        <w:rPr>
          <w:rFonts w:hint="eastAsia"/>
          <w:szCs w:val="22"/>
        </w:rPr>
        <w:t>——更改了4.1.8（见4.1.8，2021年版的4.1.8）；</w:t>
      </w:r>
    </w:p>
    <w:p>
      <w:pPr>
        <w:pStyle w:val="57"/>
        <w:ind w:firstLine="420"/>
        <w:rPr>
          <w:szCs w:val="22"/>
        </w:rPr>
      </w:pPr>
      <w:r>
        <w:rPr>
          <w:rFonts w:hint="eastAsia"/>
          <w:szCs w:val="22"/>
        </w:rPr>
        <w:t>——更改了4.2.3（见4.2.3，2021年版的4.2.3）；</w:t>
      </w:r>
    </w:p>
    <w:p>
      <w:pPr>
        <w:pStyle w:val="57"/>
        <w:ind w:firstLine="420"/>
        <w:rPr>
          <w:szCs w:val="22"/>
        </w:rPr>
      </w:pPr>
      <w:r>
        <w:rPr>
          <w:rFonts w:hint="eastAsia"/>
          <w:szCs w:val="22"/>
        </w:rPr>
        <w:t>——更改了4.3“标本管理”（见4.3，2021年版的4.3）；</w:t>
      </w:r>
    </w:p>
    <w:p>
      <w:pPr>
        <w:pStyle w:val="57"/>
        <w:ind w:firstLine="420"/>
        <w:rPr>
          <w:szCs w:val="22"/>
        </w:rPr>
      </w:pPr>
      <w:r>
        <w:rPr>
          <w:rFonts w:hint="eastAsia"/>
          <w:szCs w:val="22"/>
        </w:rPr>
        <w:t>——更改了4.3.1“标本留取”（见4.3.1，2021年版的4.3.1）；</w:t>
      </w:r>
    </w:p>
    <w:p>
      <w:pPr>
        <w:pStyle w:val="57"/>
        <w:ind w:firstLine="420"/>
        <w:rPr>
          <w:szCs w:val="22"/>
        </w:rPr>
      </w:pPr>
      <w:r>
        <w:rPr>
          <w:rFonts w:hint="eastAsia"/>
          <w:szCs w:val="22"/>
        </w:rPr>
        <w:t>——更改了4.3.2“标识”（见4.3.2，2021年版的4.3.2）；</w:t>
      </w:r>
    </w:p>
    <w:p>
      <w:pPr>
        <w:pStyle w:val="57"/>
        <w:ind w:firstLine="420"/>
        <w:rPr>
          <w:szCs w:val="22"/>
        </w:rPr>
      </w:pPr>
      <w:r>
        <w:rPr>
          <w:rFonts w:hint="eastAsia"/>
          <w:szCs w:val="22"/>
        </w:rPr>
        <w:t>——更改了4.3.3“标本包装与运输、交接”（见4.3.3，2021年版的4.3.3）；</w:t>
      </w:r>
    </w:p>
    <w:p>
      <w:pPr>
        <w:pStyle w:val="57"/>
        <w:ind w:firstLine="420"/>
        <w:rPr>
          <w:szCs w:val="22"/>
        </w:rPr>
      </w:pPr>
      <w:r>
        <w:rPr>
          <w:rFonts w:hint="eastAsia"/>
          <w:szCs w:val="22"/>
        </w:rPr>
        <w:t>——更改了4.4.2（见4.4.2，2021年版的4.4.2）；</w:t>
      </w:r>
    </w:p>
    <w:p>
      <w:pPr>
        <w:pStyle w:val="57"/>
        <w:ind w:firstLine="420"/>
        <w:rPr>
          <w:szCs w:val="22"/>
        </w:rPr>
      </w:pPr>
      <w:r>
        <w:rPr>
          <w:rFonts w:hint="eastAsia"/>
          <w:szCs w:val="22"/>
        </w:rPr>
        <w:t>——更改了4.4.4（见4.4.4，2021年版的4.4.4）；</w:t>
      </w:r>
    </w:p>
    <w:p>
      <w:pPr>
        <w:pStyle w:val="57"/>
        <w:ind w:firstLine="420"/>
        <w:rPr>
          <w:szCs w:val="22"/>
        </w:rPr>
      </w:pPr>
      <w:r>
        <w:rPr>
          <w:rFonts w:hint="eastAsia"/>
          <w:szCs w:val="22"/>
        </w:rPr>
        <w:t>——更改了4.4.5（见4.4.5，2021年版的4.4.5）；</w:t>
      </w:r>
    </w:p>
    <w:p>
      <w:pPr>
        <w:pStyle w:val="57"/>
        <w:ind w:firstLine="420"/>
        <w:rPr>
          <w:szCs w:val="22"/>
        </w:rPr>
      </w:pPr>
      <w:r>
        <w:rPr>
          <w:rFonts w:hint="eastAsia"/>
          <w:szCs w:val="22"/>
        </w:rPr>
        <w:t>——更改了4.5.2.2（见4.5.2.2，2021年版的4.5.2.2）；</w:t>
      </w:r>
    </w:p>
    <w:p>
      <w:pPr>
        <w:pStyle w:val="57"/>
        <w:ind w:firstLine="420"/>
        <w:rPr>
          <w:szCs w:val="22"/>
        </w:rPr>
      </w:pPr>
      <w:r>
        <w:rPr>
          <w:rFonts w:hint="eastAsia"/>
          <w:szCs w:val="22"/>
        </w:rPr>
        <w:t>——增加了4.5.2.3（见4.5.2.3）；</w:t>
      </w:r>
    </w:p>
    <w:p>
      <w:pPr>
        <w:pStyle w:val="57"/>
        <w:ind w:firstLine="420"/>
        <w:rPr>
          <w:szCs w:val="22"/>
        </w:rPr>
      </w:pPr>
      <w:r>
        <w:rPr>
          <w:rFonts w:hint="eastAsia"/>
          <w:szCs w:val="22"/>
        </w:rPr>
        <w:t>——更改了4.5.3.1（见4.5.3.1，2021年版的4.5.3.1）；</w:t>
      </w:r>
    </w:p>
    <w:p>
      <w:pPr>
        <w:pStyle w:val="57"/>
        <w:ind w:firstLine="420"/>
        <w:rPr>
          <w:szCs w:val="22"/>
        </w:rPr>
      </w:pPr>
      <w:r>
        <w:rPr>
          <w:rFonts w:hint="eastAsia"/>
          <w:szCs w:val="22"/>
        </w:rPr>
        <w:t>——更改了4.5.3.2（见4.5.3.2，2021年版的4.5.3.2）；</w:t>
      </w:r>
    </w:p>
    <w:p>
      <w:pPr>
        <w:pStyle w:val="57"/>
        <w:ind w:firstLine="420"/>
        <w:rPr>
          <w:szCs w:val="22"/>
        </w:rPr>
      </w:pPr>
      <w:r>
        <w:rPr>
          <w:rFonts w:hint="eastAsia"/>
          <w:szCs w:val="22"/>
        </w:rPr>
        <w:t>——更改了4.5.3.3（见4.5.3.3，2021年版的4.5.3.3）；</w:t>
      </w:r>
    </w:p>
    <w:p>
      <w:pPr>
        <w:pStyle w:val="57"/>
        <w:ind w:firstLine="420"/>
        <w:rPr>
          <w:szCs w:val="22"/>
        </w:rPr>
      </w:pPr>
      <w:r>
        <w:rPr>
          <w:rFonts w:hint="eastAsia"/>
          <w:szCs w:val="22"/>
        </w:rPr>
        <w:t>——更改了4.6.1“资料库应用范畴”（见4.6.1，2021年版的4.6.1）；</w:t>
      </w:r>
    </w:p>
    <w:p>
      <w:pPr>
        <w:pStyle w:val="57"/>
        <w:ind w:firstLine="420"/>
        <w:rPr>
          <w:szCs w:val="22"/>
        </w:rPr>
      </w:pPr>
      <w:r>
        <w:rPr>
          <w:rFonts w:hint="eastAsia"/>
          <w:szCs w:val="22"/>
        </w:rPr>
        <w:t>——更改了4.6.3“ABO血型的选择”（见4.6.3，2021年版的4.6.3）；</w:t>
      </w:r>
    </w:p>
    <w:p>
      <w:pPr>
        <w:pStyle w:val="57"/>
        <w:ind w:firstLine="420"/>
        <w:rPr>
          <w:szCs w:val="22"/>
        </w:rPr>
      </w:pPr>
      <w:r>
        <w:rPr>
          <w:rFonts w:hint="eastAsia"/>
          <w:szCs w:val="22"/>
        </w:rPr>
        <w:t>——更改了4.6.4.6（见4.6.4.6，2021年版的4.6.4.6）；</w:t>
      </w:r>
    </w:p>
    <w:p>
      <w:pPr>
        <w:pStyle w:val="57"/>
        <w:ind w:firstLine="420"/>
        <w:rPr>
          <w:szCs w:val="22"/>
        </w:rPr>
      </w:pPr>
      <w:r>
        <w:rPr>
          <w:rFonts w:hint="eastAsia"/>
          <w:szCs w:val="22"/>
        </w:rPr>
        <w:t>——更改了4.6.6“配型血小板采集和发放”（见4.6.6,2021年版的4.6.6）；</w:t>
      </w:r>
    </w:p>
    <w:p>
      <w:pPr>
        <w:pStyle w:val="57"/>
        <w:ind w:firstLine="420"/>
        <w:rPr>
          <w:szCs w:val="22"/>
        </w:rPr>
      </w:pPr>
      <w:r>
        <w:rPr>
          <w:rFonts w:hint="eastAsia"/>
          <w:szCs w:val="22"/>
        </w:rPr>
        <w:t>——更改了参考文献中的“3、4、5、6、7、8、9、10”（见参考文献3、4、5、6、7、8、9、10,2021年版的参考文献3、4、5、6、7、8、9、10）。</w:t>
      </w:r>
    </w:p>
    <w:p>
      <w:pPr>
        <w:rPr>
          <w:szCs w:val="22"/>
        </w:rPr>
      </w:pPr>
      <w:r>
        <w:rPr>
          <w:rFonts w:hint="eastAsia"/>
        </w:rPr>
        <w:t xml:space="preserve"> </w:t>
      </w:r>
      <w:r>
        <w:t xml:space="preserve"> </w:t>
      </w:r>
      <w:r>
        <w:rPr>
          <w:rFonts w:hint="eastAsia"/>
        </w:rPr>
        <w:t xml:space="preserve">  </w:t>
      </w:r>
      <w:r>
        <w:rPr>
          <w:rFonts w:hint="eastAsia"/>
          <w:szCs w:val="22"/>
        </w:rPr>
        <w:t>本标准由中国输血协会人类白细胞抗原专业委员会提出。</w:t>
      </w:r>
    </w:p>
    <w:p>
      <w:pPr>
        <w:pStyle w:val="57"/>
        <w:ind w:firstLine="420"/>
        <w:rPr>
          <w:szCs w:val="22"/>
        </w:rPr>
      </w:pPr>
      <w:r>
        <w:rPr>
          <w:rFonts w:hint="eastAsia"/>
          <w:szCs w:val="22"/>
        </w:rPr>
        <w:t>本标准由中国输血协会血液质量专业委员会归口。</w:t>
      </w:r>
    </w:p>
    <w:p>
      <w:pPr>
        <w:pStyle w:val="57"/>
        <w:ind w:firstLine="420"/>
        <w:rPr>
          <w:szCs w:val="22"/>
        </w:rPr>
      </w:pPr>
      <w:r>
        <w:rPr>
          <w:rFonts w:hint="eastAsia"/>
          <w:szCs w:val="22"/>
        </w:rPr>
        <w:t>本标准起草单位：浙江省血液中心、重庆市血液中心、北京市红十字血液中心、广州血液中心、上海市血液中心、山东省血液中心、北京医院、浙江大学医学院附属第一医院。</w:t>
      </w:r>
    </w:p>
    <w:p>
      <w:pPr>
        <w:pStyle w:val="57"/>
        <w:ind w:firstLine="420"/>
      </w:pPr>
      <w:r>
        <w:rPr>
          <w:rFonts w:hint="eastAsia"/>
          <w:szCs w:val="22"/>
        </w:rPr>
        <w:t>本标准主要起草人：朱发明、毛伟、张志欣、许先国、叶欣、朱自严、</w:t>
      </w:r>
      <w:r>
        <w:rPr>
          <w:rFonts w:hint="eastAsia"/>
        </w:rPr>
        <w:t>朱传福、宫济武、谢珏、</w:t>
      </w:r>
      <w:r>
        <w:rPr>
          <w:rFonts w:hint="eastAsia"/>
          <w:szCs w:val="22"/>
        </w:rPr>
        <w:t>何吉</w:t>
      </w:r>
      <w:r>
        <w:rPr>
          <w:rFonts w:hint="eastAsia"/>
        </w:rPr>
        <w:t>。</w:t>
      </w:r>
    </w:p>
    <w:p>
      <w:pPr>
        <w:pStyle w:val="57"/>
        <w:ind w:firstLine="420"/>
        <w:sectPr>
          <w:headerReference r:id="rId11" w:type="default"/>
          <w:footerReference r:id="rId13" w:type="default"/>
          <w:headerReference r:id="rId12" w:type="even"/>
          <w:footerReference r:id="rId14" w:type="even"/>
          <w:pgSz w:w="11906" w:h="16838"/>
          <w:pgMar w:top="567" w:right="1134" w:bottom="1134" w:left="1134" w:header="1418" w:footer="1134" w:gutter="284"/>
          <w:pgNumType w:fmt="upperRoman"/>
          <w:cols w:space="425" w:num="1"/>
          <w:formProt w:val="0"/>
          <w:docGrid w:linePitch="312" w:charSpace="0"/>
        </w:sectPr>
      </w:pPr>
    </w:p>
    <w:bookmarkEnd w:id="35"/>
    <w:p>
      <w:pPr>
        <w:spacing w:line="20" w:lineRule="exact"/>
        <w:jc w:val="center"/>
        <w:rPr>
          <w:rFonts w:ascii="黑体" w:hAnsi="黑体" w:eastAsia="黑体"/>
          <w:sz w:val="32"/>
          <w:szCs w:val="32"/>
        </w:rPr>
      </w:pPr>
      <w:bookmarkStart w:id="36" w:name="BookMark4"/>
    </w:p>
    <w:p>
      <w:pPr>
        <w:spacing w:line="20" w:lineRule="exact"/>
        <w:jc w:val="center"/>
        <w:rPr>
          <w:rFonts w:ascii="黑体" w:hAnsi="黑体" w:eastAsia="黑体"/>
          <w:sz w:val="32"/>
          <w:szCs w:val="32"/>
        </w:rPr>
      </w:pPr>
    </w:p>
    <w:sdt>
      <w:sdtPr>
        <w:tag w:val="NEW_STAND_NAME"/>
        <w:id w:val="595910757"/>
        <w:lock w:val="sdtLocked"/>
        <w:placeholder>
          <w:docPart w:val="0E304B122E3B473CBAA93D7F4525F65B"/>
        </w:placeholder>
      </w:sdtPr>
      <w:sdtContent>
        <w:p>
          <w:pPr>
            <w:pStyle w:val="178"/>
            <w:spacing w:before="240" w:beforeLines="100" w:after="528" w:afterLines="220"/>
          </w:pPr>
          <w:bookmarkStart w:id="37" w:name="NEW_STAND_NAME"/>
          <w:r>
            <w:rPr>
              <w:rFonts w:hint="eastAsia"/>
            </w:rPr>
            <w:t>血小板配合性输注的献血者资料库规范</w:t>
          </w:r>
        </w:p>
      </w:sdtContent>
    </w:sdt>
    <w:bookmarkEnd w:id="37"/>
    <w:p>
      <w:pPr>
        <w:pStyle w:val="105"/>
        <w:spacing w:before="240" w:after="240"/>
      </w:pPr>
      <w:bookmarkStart w:id="38" w:name="_Toc26648465"/>
      <w:bookmarkStart w:id="39" w:name="_Toc63768543"/>
      <w:bookmarkStart w:id="40" w:name="_Toc63604104"/>
      <w:bookmarkStart w:id="41" w:name="_Toc63668750"/>
      <w:bookmarkStart w:id="42" w:name="_Toc24884211"/>
      <w:bookmarkStart w:id="43" w:name="_Toc63667980"/>
      <w:bookmarkStart w:id="44" w:name="_Toc63668866"/>
      <w:bookmarkStart w:id="45" w:name="_Toc63768470"/>
      <w:bookmarkStart w:id="46" w:name="_Toc63668176"/>
      <w:bookmarkStart w:id="47" w:name="_Toc63768655"/>
      <w:bookmarkStart w:id="48" w:name="_Toc26718930"/>
      <w:bookmarkStart w:id="49" w:name="_Toc63769327"/>
      <w:bookmarkStart w:id="50" w:name="_Toc17233333"/>
      <w:bookmarkStart w:id="51" w:name="_Toc63667102"/>
      <w:bookmarkStart w:id="52" w:name="_Toc24884218"/>
      <w:bookmarkStart w:id="53" w:name="_Toc26986530"/>
      <w:bookmarkStart w:id="54" w:name="_Toc63668855"/>
      <w:bookmarkStart w:id="55" w:name="_Toc17233325"/>
      <w:bookmarkStart w:id="56" w:name="_Toc63604332"/>
      <w:bookmarkStart w:id="57" w:name="_Toc26986771"/>
      <w:bookmarkStart w:id="58" w:name="_Toc63670581"/>
      <w:bookmarkStart w:id="59" w:name="_Toc63667086"/>
      <w:r>
        <w:rPr>
          <w:rFonts w:hint="eastAsia"/>
        </w:rPr>
        <w:t>范围</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pPr>
        <w:pStyle w:val="57"/>
        <w:ind w:firstLine="420"/>
        <w:rPr>
          <w:szCs w:val="22"/>
        </w:rPr>
      </w:pPr>
      <w:bookmarkStart w:id="60" w:name="_Toc24884212"/>
      <w:bookmarkStart w:id="61" w:name="_Toc17233326"/>
      <w:bookmarkStart w:id="62" w:name="_Toc24884219"/>
      <w:bookmarkStart w:id="63" w:name="_Toc17233334"/>
      <w:bookmarkStart w:id="64" w:name="_Toc26648466"/>
      <w:r>
        <w:rPr>
          <w:rFonts w:hint="eastAsia"/>
          <w:szCs w:val="22"/>
        </w:rPr>
        <w:t>本标准规定了用于供受者配合性输注的血小板献血者资料库的建库和应用的要求，覆盖资料库信息管理系统、献血者选择、标本管理、检测位点/系统和检测方法、信息数据格式和共享、资料库应用。</w:t>
      </w:r>
    </w:p>
    <w:p>
      <w:pPr>
        <w:pStyle w:val="57"/>
        <w:ind w:firstLine="420"/>
        <w:rPr>
          <w:szCs w:val="22"/>
        </w:rPr>
      </w:pPr>
      <w:r>
        <w:rPr>
          <w:rFonts w:hint="eastAsia"/>
          <w:szCs w:val="22"/>
        </w:rPr>
        <w:t>本标准适用于一般血站和中国造血干细胞捐献者资料库血小板配合性输注的献血者资料库建库和应用。</w:t>
      </w:r>
    </w:p>
    <w:p>
      <w:pPr>
        <w:pStyle w:val="105"/>
        <w:spacing w:before="240" w:after="240"/>
      </w:pPr>
      <w:bookmarkStart w:id="65" w:name="_Toc63667087"/>
      <w:bookmarkStart w:id="66" w:name="_Toc63768471"/>
      <w:bookmarkStart w:id="67" w:name="_Toc63668751"/>
      <w:bookmarkStart w:id="68" w:name="_Toc63604105"/>
      <w:bookmarkStart w:id="69" w:name="_Toc63768544"/>
      <w:bookmarkStart w:id="70" w:name="_Toc63668177"/>
      <w:bookmarkStart w:id="71" w:name="_Toc63670582"/>
      <w:bookmarkStart w:id="72" w:name="_Toc63768656"/>
      <w:bookmarkStart w:id="73" w:name="_Toc26718931"/>
      <w:bookmarkStart w:id="74" w:name="_Toc63604333"/>
      <w:bookmarkStart w:id="75" w:name="_Toc26986772"/>
      <w:bookmarkStart w:id="76" w:name="_Toc63667981"/>
      <w:bookmarkStart w:id="77" w:name="_Toc63769328"/>
      <w:bookmarkStart w:id="78" w:name="_Toc63667103"/>
      <w:bookmarkStart w:id="79" w:name="_Toc26986531"/>
      <w:bookmarkStart w:id="80" w:name="_Toc63668856"/>
      <w:bookmarkStart w:id="81" w:name="_Toc63668867"/>
      <w:r>
        <w:rPr>
          <w:rFonts w:hint="eastAsia"/>
        </w:rPr>
        <w:t>规范性引用文件</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pPr>
        <w:pStyle w:val="57"/>
        <w:ind w:firstLine="420"/>
      </w:pPr>
      <w:r>
        <w:rPr>
          <w:rFonts w:hint="eastAsia"/>
          <w:szCs w:val="22"/>
        </w:rPr>
        <w:t>下列文件中的内容通过文中的规范性引用而构成本标准必不可少的条款。其中，注日期的引用文件,仅该日期对应的版本适用于本标准；不注日期的引用文件，其最新版本(包括所有的修改单)适用于本标准。</w:t>
      </w:r>
    </w:p>
    <w:p>
      <w:pPr>
        <w:pStyle w:val="57"/>
        <w:ind w:firstLine="420"/>
      </w:pPr>
      <w:r>
        <w:rPr>
          <w:rFonts w:hint="eastAsia"/>
        </w:rPr>
        <w:t>GB18467 献血者健康检查要求</w:t>
      </w:r>
    </w:p>
    <w:p>
      <w:pPr>
        <w:pStyle w:val="57"/>
        <w:ind w:firstLine="420"/>
      </w:pPr>
      <w:r>
        <w:rPr>
          <w:rFonts w:hint="eastAsia"/>
        </w:rPr>
        <w:t>GB18469 全血及成分血质量要求</w:t>
      </w:r>
    </w:p>
    <w:p>
      <w:pPr>
        <w:pStyle w:val="57"/>
        <w:ind w:firstLine="420"/>
      </w:pPr>
      <w:r>
        <w:rPr>
          <w:rFonts w:hint="eastAsia"/>
        </w:rPr>
        <w:t>WS/T 203 输血医学术语</w:t>
      </w:r>
    </w:p>
    <w:p>
      <w:pPr>
        <w:pStyle w:val="105"/>
        <w:spacing w:before="240" w:after="240"/>
      </w:pPr>
      <w:bookmarkStart w:id="82" w:name="_Toc63768657"/>
      <w:bookmarkStart w:id="83" w:name="_Toc63768472"/>
      <w:bookmarkStart w:id="84" w:name="_Toc63667104"/>
      <w:bookmarkStart w:id="85" w:name="_Toc63668857"/>
      <w:bookmarkStart w:id="86" w:name="_Toc63604106"/>
      <w:bookmarkStart w:id="87" w:name="_Toc63604334"/>
      <w:bookmarkStart w:id="88" w:name="_Toc63769329"/>
      <w:bookmarkStart w:id="89" w:name="_Toc63670583"/>
      <w:bookmarkStart w:id="90" w:name="_Toc63668178"/>
      <w:bookmarkStart w:id="91" w:name="_Toc63668868"/>
      <w:bookmarkStart w:id="92" w:name="_Toc63667088"/>
      <w:bookmarkStart w:id="93" w:name="_Toc63668752"/>
      <w:bookmarkStart w:id="94" w:name="_Toc63667982"/>
      <w:bookmarkStart w:id="95" w:name="_Toc63768545"/>
      <w:r>
        <w:rPr>
          <w:rFonts w:hint="eastAsia"/>
          <w:szCs w:val="21"/>
        </w:rPr>
        <w:t>术语和定义</w:t>
      </w:r>
      <w:bookmarkEnd w:id="82"/>
      <w:bookmarkEnd w:id="83"/>
      <w:bookmarkEnd w:id="84"/>
      <w:bookmarkEnd w:id="85"/>
      <w:bookmarkEnd w:id="86"/>
      <w:bookmarkEnd w:id="87"/>
      <w:bookmarkEnd w:id="88"/>
      <w:bookmarkEnd w:id="89"/>
      <w:bookmarkEnd w:id="90"/>
      <w:bookmarkEnd w:id="91"/>
      <w:bookmarkEnd w:id="92"/>
      <w:bookmarkEnd w:id="93"/>
      <w:bookmarkEnd w:id="94"/>
      <w:bookmarkEnd w:id="95"/>
    </w:p>
    <w:p>
      <w:pPr>
        <w:pStyle w:val="57"/>
        <w:ind w:firstLine="420"/>
      </w:pPr>
      <w:sdt>
        <w:sdtPr>
          <w:id w:val="-1909835108"/>
          <w:placeholder>
            <w:docPart w:val="1DFCF63BFB014B4DB5EAD543FBB18DF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bookmarkStart w:id="96" w:name="_Toc26986532"/>
          <w:bookmarkEnd w:id="96"/>
          <w:r>
            <w:rPr>
              <w:rFonts w:hint="eastAsia"/>
            </w:rPr>
            <w:t>WS/T 203</w:t>
          </w:r>
          <w:r>
            <w:t>界定的</w:t>
          </w:r>
        </w:sdtContent>
      </w:sdt>
      <w:r>
        <w:rPr>
          <w:rFonts w:hint="eastAsia"/>
        </w:rPr>
        <w:t>以及下列术语和定义适用于本标准。</w:t>
      </w:r>
    </w:p>
    <w:p>
      <w:pPr>
        <w:pStyle w:val="57"/>
        <w:ind w:firstLine="420"/>
      </w:pPr>
    </w:p>
    <w:p>
      <w:pPr>
        <w:pStyle w:val="224"/>
        <w:ind w:left="420" w:hanging="420" w:hangingChars="200"/>
        <w:rPr>
          <w:rFonts w:ascii="黑体" w:hAnsi="黑体" w:eastAsia="黑体"/>
        </w:rPr>
      </w:pPr>
    </w:p>
    <w:p>
      <w:pPr>
        <w:pStyle w:val="224"/>
        <w:numPr>
          <w:ilvl w:val="0"/>
          <w:numId w:val="0"/>
        </w:numPr>
        <w:ind w:left="420"/>
        <w:rPr>
          <w:rFonts w:ascii="黑体" w:hAnsi="黑体" w:eastAsia="黑体"/>
        </w:rPr>
      </w:pPr>
      <w:r>
        <w:rPr>
          <w:rFonts w:hint="eastAsia" w:ascii="黑体" w:hAnsi="黑体" w:eastAsia="黑体"/>
        </w:rPr>
        <w:t>人类血小板同种抗原 human platelet alloantigen；HPA</w:t>
      </w:r>
    </w:p>
    <w:p>
      <w:pPr>
        <w:pStyle w:val="57"/>
        <w:ind w:firstLine="420"/>
      </w:pPr>
      <w:r>
        <w:rPr>
          <w:rFonts w:hint="eastAsia"/>
        </w:rPr>
        <w:t>表达在人血小板糖蛋白GPⅡb、GPⅢa、GPⅠbα、GPⅠbβ、GPⅠa、G</w:t>
      </w:r>
      <w:r>
        <w:t>P</w:t>
      </w:r>
      <w:r>
        <w:rPr>
          <w:rFonts w:hint="eastAsia"/>
        </w:rPr>
        <w:t>Ⅸ、CD109上的同种抗原。HPA最初的命名是血小板表面特有的抗原多态性，后来发现有些HPA在其他细胞或组织上也有表达。</w:t>
      </w:r>
    </w:p>
    <w:p>
      <w:pPr>
        <w:pStyle w:val="105"/>
        <w:spacing w:before="240" w:after="240"/>
      </w:pPr>
      <w:bookmarkStart w:id="97" w:name="_Toc63667094"/>
      <w:bookmarkStart w:id="98" w:name="_Toc63668858"/>
      <w:bookmarkStart w:id="99" w:name="_Toc63768658"/>
      <w:bookmarkStart w:id="100" w:name="_Toc63668753"/>
      <w:bookmarkStart w:id="101" w:name="_Toc63670584"/>
      <w:bookmarkStart w:id="102" w:name="_Toc63768473"/>
      <w:bookmarkStart w:id="103" w:name="_Toc63667105"/>
      <w:bookmarkStart w:id="104" w:name="_Toc63769330"/>
      <w:bookmarkStart w:id="105" w:name="_Toc63668179"/>
      <w:bookmarkStart w:id="106" w:name="_Toc63668869"/>
      <w:bookmarkStart w:id="107" w:name="_Toc63667983"/>
      <w:bookmarkStart w:id="108" w:name="_Toc63768546"/>
      <w:r>
        <w:rPr>
          <w:rFonts w:hint="eastAsia"/>
        </w:rPr>
        <w:t>技术要求</w:t>
      </w:r>
      <w:bookmarkEnd w:id="97"/>
      <w:bookmarkEnd w:id="98"/>
      <w:bookmarkEnd w:id="99"/>
      <w:bookmarkEnd w:id="100"/>
      <w:bookmarkEnd w:id="101"/>
      <w:bookmarkEnd w:id="102"/>
      <w:bookmarkEnd w:id="103"/>
      <w:bookmarkEnd w:id="104"/>
      <w:bookmarkEnd w:id="105"/>
      <w:bookmarkEnd w:id="106"/>
      <w:bookmarkEnd w:id="107"/>
      <w:bookmarkEnd w:id="108"/>
    </w:p>
    <w:p>
      <w:pPr>
        <w:pStyle w:val="106"/>
        <w:spacing w:before="120" w:after="120"/>
      </w:pPr>
      <w:bookmarkStart w:id="109" w:name="_Toc63667095"/>
      <w:r>
        <w:rPr>
          <w:rFonts w:hint="eastAsia"/>
        </w:rPr>
        <w:t>资料库信息管理系统</w:t>
      </w:r>
      <w:bookmarkEnd w:id="109"/>
    </w:p>
    <w:p>
      <w:pPr>
        <w:pStyle w:val="166"/>
      </w:pPr>
      <w:r>
        <w:rPr>
          <w:rFonts w:hint="eastAsia"/>
        </w:rPr>
        <w:t>建立覆盖血小板献血者资料库建库和应用全流程的计算机信息管理系统，信息管理系统安全等级应符合国家信息化安全等级建设的要求。血小板献血者资料库中献血者应具有明确的HLA和(或) HPA基因型、和(或)CD36抗原表达的数据。</w:t>
      </w:r>
    </w:p>
    <w:p>
      <w:pPr>
        <w:pStyle w:val="166"/>
      </w:pPr>
      <w:r>
        <w:rPr>
          <w:rFonts w:hint="eastAsia"/>
        </w:rPr>
        <w:t>信息管理系统应覆盖血小板献血者选择、标本采集和管理、实验检测、结果分析、数据入库、应用检索、配型血小板发放、配型报告、输注效果评价的过程。</w:t>
      </w:r>
    </w:p>
    <w:p>
      <w:pPr>
        <w:pStyle w:val="166"/>
      </w:pPr>
      <w:r>
        <w:rPr>
          <w:rFonts w:hint="eastAsia"/>
        </w:rPr>
        <w:t>信息管理系统应能自动批量导入HLA、HPA、CD36检测数据。检索功能应具有交叉抗原模式、表位模式、规避供者特异性抗体(DSA)对应抗原模式，信息系统可自动检索、判定合适的的血小板献血者或库存血小板。HLA I类抗原交叉反应组见附录A。</w:t>
      </w:r>
    </w:p>
    <w:p>
      <w:pPr>
        <w:pStyle w:val="166"/>
      </w:pPr>
      <w:r>
        <w:rPr>
          <w:rFonts w:hint="eastAsia"/>
        </w:rPr>
        <w:t>对信息管理系统进行确认，信息管理系统应符合预期的使用要求。</w:t>
      </w:r>
    </w:p>
    <w:p>
      <w:pPr>
        <w:pStyle w:val="166"/>
      </w:pPr>
      <w:r>
        <w:rPr>
          <w:rFonts w:hint="eastAsia"/>
        </w:rPr>
        <w:t>计算机信息管理系统只限于授权人使用，使用人员应保证电子口令的安全。</w:t>
      </w:r>
    </w:p>
    <w:p>
      <w:pPr>
        <w:pStyle w:val="166"/>
      </w:pPr>
      <w:r>
        <w:rPr>
          <w:rFonts w:hint="eastAsia"/>
        </w:rPr>
        <w:t>资料库有电子记录备份的操作程序，在意外事件发生后启动操作程序应能恢复电子数据。应设置不间断电力供应。</w:t>
      </w:r>
    </w:p>
    <w:p>
      <w:pPr>
        <w:pStyle w:val="166"/>
      </w:pPr>
      <w:r>
        <w:rPr>
          <w:rFonts w:hint="eastAsia"/>
        </w:rPr>
        <w:t>应详细记录操作者所有登录和操作活动的日期、时间和内容。</w:t>
      </w:r>
    </w:p>
    <w:p>
      <w:pPr>
        <w:pStyle w:val="166"/>
      </w:pPr>
      <w:r>
        <w:rPr>
          <w:rFonts w:hint="eastAsia"/>
        </w:rPr>
        <w:t>应采取措施保证数据安全，并规定数据库备份的方式和间隔时间。</w:t>
      </w:r>
    </w:p>
    <w:p>
      <w:pPr>
        <w:pStyle w:val="106"/>
        <w:spacing w:before="120" w:after="120"/>
      </w:pPr>
      <w:bookmarkStart w:id="110" w:name="_Toc63667096"/>
      <w:r>
        <w:rPr>
          <w:rFonts w:hint="eastAsia"/>
        </w:rPr>
        <w:t>献血者选择</w:t>
      </w:r>
      <w:bookmarkEnd w:id="110"/>
    </w:p>
    <w:p>
      <w:pPr>
        <w:pStyle w:val="166"/>
      </w:pPr>
      <w:r>
        <w:rPr>
          <w:rFonts w:hint="eastAsia"/>
        </w:rPr>
        <w:t>遵循献血者知情同意原则，知情同意书模板应经伦理审查通过。</w:t>
      </w:r>
    </w:p>
    <w:p>
      <w:pPr>
        <w:pStyle w:val="166"/>
      </w:pPr>
      <w:r>
        <w:rPr>
          <w:rFonts w:hint="eastAsia"/>
        </w:rPr>
        <w:t>宜选择参加过3次及以上单采血小板的献血者，年龄在18-55周岁，常住地相对固定。既往无献血反应、符合健康检查要求的有多次血小板捐献史或者主动要求加入的献血者，年龄可延长至 60 周岁；地方法规有规定的，按照地方法规执行。献血者健康检查的其他条件应符合GB18467《献血者健康检查要求》的规定。</w:t>
      </w:r>
    </w:p>
    <w:p>
      <w:pPr>
        <w:pStyle w:val="166"/>
      </w:pPr>
      <w:r>
        <w:rPr>
          <w:rFonts w:hint="eastAsia"/>
        </w:rPr>
        <w:t>开展献血者宣传动员，宜动员献血者同时加入血小板献血者资料库和中国造血干细胞捐献者库。</w:t>
      </w:r>
    </w:p>
    <w:p>
      <w:pPr>
        <w:pStyle w:val="106"/>
        <w:spacing w:before="120" w:after="120"/>
      </w:pPr>
      <w:bookmarkStart w:id="111" w:name="_Toc63667097"/>
      <w:r>
        <w:rPr>
          <w:rFonts w:hint="eastAsia"/>
        </w:rPr>
        <w:t>标本</w:t>
      </w:r>
      <w:bookmarkEnd w:id="111"/>
      <w:r>
        <w:rPr>
          <w:rFonts w:hint="eastAsia"/>
        </w:rPr>
        <w:t>管理</w:t>
      </w:r>
    </w:p>
    <w:p>
      <w:pPr>
        <w:pStyle w:val="66"/>
        <w:spacing w:before="120" w:after="120"/>
      </w:pPr>
      <w:r>
        <w:rPr>
          <w:rFonts w:hint="eastAsia"/>
        </w:rPr>
        <w:t xml:space="preserve">标本留取 </w:t>
      </w:r>
    </w:p>
    <w:p>
      <w:pPr>
        <w:pStyle w:val="57"/>
        <w:ind w:firstLine="420"/>
      </w:pPr>
      <w:r>
        <w:rPr>
          <w:rFonts w:hint="eastAsia"/>
        </w:rPr>
        <w:t>在献血者血液采集过程、献血者健康检查初筛过程或者中国造血干细胞捐献者入库血液采集时留取标本。根据实验目的选择适合的采血管，留取约5</w:t>
      </w:r>
      <w:r>
        <w:t>mL</w:t>
      </w:r>
      <w:r>
        <w:rPr>
          <w:rFonts w:hint="eastAsia"/>
        </w:rPr>
        <w:t>标本用于检测。</w:t>
      </w:r>
    </w:p>
    <w:p>
      <w:pPr>
        <w:pStyle w:val="66"/>
        <w:spacing w:before="120" w:after="120"/>
      </w:pPr>
      <w:r>
        <w:rPr>
          <w:rFonts w:hint="eastAsia"/>
        </w:rPr>
        <w:t>标识</w:t>
      </w:r>
    </w:p>
    <w:p>
      <w:pPr>
        <w:pStyle w:val="57"/>
        <w:ind w:firstLine="420"/>
      </w:pPr>
      <w:r>
        <w:rPr>
          <w:rFonts w:hint="eastAsia"/>
        </w:rPr>
        <w:t>标本管、知情同意书采用唯一性条形码标识，标本、知情同意书、献血者应一一对应，具有可追溯性。</w:t>
      </w:r>
    </w:p>
    <w:p>
      <w:pPr>
        <w:pStyle w:val="66"/>
        <w:spacing w:before="120" w:after="120"/>
      </w:pPr>
      <w:r>
        <w:rPr>
          <w:rFonts w:hint="eastAsia"/>
        </w:rPr>
        <w:t>标本包装与运输、交接</w:t>
      </w:r>
    </w:p>
    <w:p>
      <w:pPr>
        <w:pStyle w:val="57"/>
        <w:ind w:firstLine="420"/>
      </w:pPr>
      <w:r>
        <w:rPr>
          <w:rFonts w:hint="eastAsia"/>
        </w:rPr>
        <w:t>应参照《血站技术操作规程》的相关要求。</w:t>
      </w:r>
    </w:p>
    <w:p>
      <w:pPr>
        <w:pStyle w:val="66"/>
        <w:spacing w:before="120" w:after="120"/>
      </w:pPr>
      <w:r>
        <w:rPr>
          <w:rFonts w:hint="eastAsia"/>
        </w:rPr>
        <w:t>标本保存</w:t>
      </w:r>
    </w:p>
    <w:p>
      <w:pPr>
        <w:pStyle w:val="57"/>
        <w:ind w:firstLine="420"/>
      </w:pPr>
      <w:r>
        <w:rPr>
          <w:rFonts w:hint="eastAsia"/>
        </w:rPr>
        <w:t>标本采集后应放置在 2℃～8℃温度下保存，实验室根据所选用的检测方法确定可接受的保存期。用于基因分型的标本，当检测方法无明确要求时，超过2周保存则宜在-20℃以下。</w:t>
      </w:r>
    </w:p>
    <w:p>
      <w:pPr>
        <w:pStyle w:val="106"/>
        <w:spacing w:before="120" w:after="120"/>
      </w:pPr>
      <w:bookmarkStart w:id="112" w:name="_Toc63667098"/>
      <w:r>
        <w:rPr>
          <w:rFonts w:hint="eastAsia"/>
        </w:rPr>
        <w:t>检测位点/系统和检测方法</w:t>
      </w:r>
      <w:bookmarkEnd w:id="112"/>
    </w:p>
    <w:p>
      <w:pPr>
        <w:pStyle w:val="166"/>
      </w:pPr>
      <w:r>
        <w:rPr>
          <w:rFonts w:hint="eastAsia"/>
        </w:rPr>
        <w:t>检测位点/系统有HLA-I类位点基因、HPA基因、CD36抗原。根据应用需求和实际情况，建库时可选择单个或全部检测位点/系统。</w:t>
      </w:r>
    </w:p>
    <w:p>
      <w:pPr>
        <w:pStyle w:val="166"/>
      </w:pPr>
      <w:r>
        <w:rPr>
          <w:rFonts w:hint="eastAsia"/>
        </w:rPr>
        <w:t>HLA-I类位点基因分型方法主要包括聚合酶链反应-序列特异性引物（PCR-SSP）、聚合酶链反应-序列特异性寡核苷酸杂交（PCR-SSOP）、直接测序分型法（PCR-SBT）、新一代测序（NGS）、单分子测序等。HPA基因分型方法除可选择HLA-I类位点基因分型的方法外，还包括实时荧光定量PCR（qPCR）和飞行时间质谱等。CD36抗原检测方法主要为流式细胞仪法和ELISA方法等。</w:t>
      </w:r>
    </w:p>
    <w:p>
      <w:pPr>
        <w:pStyle w:val="166"/>
      </w:pPr>
      <w:r>
        <w:rPr>
          <w:rFonts w:hint="eastAsia"/>
        </w:rPr>
        <w:t>HLA-I类位点基因宜选择HLA高分辨基因分型方法，至少包含HLA-A和-B位点，检测区域至少覆盖基因的第2、3外显子；并根据基因型提供相应的血清型特异性。</w:t>
      </w:r>
    </w:p>
    <w:p>
      <w:pPr>
        <w:pStyle w:val="166"/>
      </w:pPr>
      <w:r>
        <w:rPr>
          <w:rFonts w:hint="eastAsia"/>
        </w:rPr>
        <w:t>根据检测要求和实验室情况选择合适的HPA基因分型方法，至少检测HPA-1～-6w、-15、-21w。应注重HPA-bb纯合子的筛选。</w:t>
      </w:r>
    </w:p>
    <w:p>
      <w:pPr>
        <w:pStyle w:val="166"/>
      </w:pPr>
      <w:r>
        <w:rPr>
          <w:rFonts w:hint="eastAsia"/>
        </w:rPr>
        <w:t>CD36抗原检测使用血清学方法，分析血小板和单核细胞CD36抗原表达情况，筛查CD36Ⅰ型和Ⅱ型缺失个体。</w:t>
      </w:r>
    </w:p>
    <w:p>
      <w:pPr>
        <w:pStyle w:val="106"/>
        <w:spacing w:before="120" w:after="120"/>
      </w:pPr>
      <w:bookmarkStart w:id="113" w:name="_Toc63667099"/>
      <w:r>
        <w:rPr>
          <w:rFonts w:hint="eastAsia"/>
        </w:rPr>
        <w:t>信息数据格式和共享</w:t>
      </w:r>
      <w:bookmarkEnd w:id="113"/>
    </w:p>
    <w:p>
      <w:pPr>
        <w:pStyle w:val="66"/>
        <w:spacing w:before="120" w:after="120"/>
      </w:pPr>
      <w:r>
        <w:rPr>
          <w:rFonts w:hint="eastAsia"/>
        </w:rPr>
        <w:t>数据格式</w:t>
      </w:r>
    </w:p>
    <w:p>
      <w:pPr>
        <w:pStyle w:val="165"/>
      </w:pPr>
      <w:r>
        <w:rPr>
          <w:rFonts w:hint="eastAsia"/>
        </w:rPr>
        <w:t>献血者一般信息内容包括但不限于唯一性标识、有效证件号、民族、出生年月、性别、居住地、血型、血液检测结果或结论、献血情况，其格式参照血站的采供血计算机信息管理系统要求。</w:t>
      </w:r>
    </w:p>
    <w:p>
      <w:pPr>
        <w:pStyle w:val="165"/>
      </w:pPr>
      <w:r>
        <w:rPr>
          <w:rFonts w:hint="eastAsia"/>
        </w:rPr>
        <w:t>HLA基因型格式  HLA-A、-B位点基因型均应报告“*”号后2个及以上域的数据。血清型可按照WHO命名等位基因对应的抗原特异性。每个等位基因、抗原分别为独立字段，每个字段的字节数应满足命名描述的要求。</w:t>
      </w:r>
    </w:p>
    <w:p>
      <w:pPr>
        <w:pStyle w:val="165"/>
      </w:pPr>
      <w:r>
        <w:rPr>
          <w:rFonts w:hint="eastAsia"/>
        </w:rPr>
        <w:t>HPA基因型格式  采用HPA-Xaa、HPA-Xab、HPA-Xbb表示。HPA代表人类血小板同种抗原系统，X为具体的系统数目，aa、bb表示纯合子，ab表示杂合子。每个基因型为独立字段。</w:t>
      </w:r>
    </w:p>
    <w:p>
      <w:pPr>
        <w:pStyle w:val="165"/>
      </w:pPr>
      <w:r>
        <w:rPr>
          <w:rFonts w:hint="eastAsia"/>
        </w:rPr>
        <w:t>CD36抗原格式  采用CD36Ⅰ型缺失、CD36Ⅱ型缺失、CD36阳性方式表示。其中血小板和单核细胞表面CD36抗原均缺失为Ⅰ型缺失；血小板表面CD36抗原缺失，而单核细胞表面表达CD36抗原为Ⅱ型缺失。</w:t>
      </w:r>
    </w:p>
    <w:p>
      <w:pPr>
        <w:pStyle w:val="66"/>
        <w:spacing w:before="120" w:after="120"/>
      </w:pPr>
      <w:r>
        <w:rPr>
          <w:rFonts w:hint="eastAsia"/>
        </w:rPr>
        <w:t>数据共享</w:t>
      </w:r>
      <w:r>
        <w:t xml:space="preserve"> </w:t>
      </w:r>
    </w:p>
    <w:p>
      <w:pPr>
        <w:pStyle w:val="165"/>
      </w:pPr>
      <w:r>
        <w:rPr>
          <w:rFonts w:hint="eastAsia"/>
        </w:rPr>
        <w:t>库内献血者HLA分型数据宜与中国造血干细胞捐献者资料库数据共享。</w:t>
      </w:r>
    </w:p>
    <w:p>
      <w:pPr>
        <w:pStyle w:val="165"/>
      </w:pPr>
      <w:r>
        <w:rPr>
          <w:rFonts w:hint="eastAsia"/>
        </w:rPr>
        <w:t>信息管理系统应设置医疗机构应用的数据接口，用于临床应用申请和输注数据的收集。</w:t>
      </w:r>
    </w:p>
    <w:p>
      <w:pPr>
        <w:pStyle w:val="165"/>
        <w:rPr>
          <w:szCs w:val="22"/>
        </w:rPr>
      </w:pPr>
      <w:r>
        <w:rPr>
          <w:rFonts w:hint="eastAsia"/>
          <w:szCs w:val="22"/>
        </w:rPr>
        <w:t>信息管理系统宜设置区域性联网数据接口。</w:t>
      </w:r>
    </w:p>
    <w:p>
      <w:pPr>
        <w:pStyle w:val="66"/>
        <w:spacing w:before="120" w:after="120"/>
      </w:pPr>
      <w:r>
        <w:rPr>
          <w:rFonts w:hint="eastAsia"/>
        </w:rPr>
        <w:t>数据管理</w:t>
      </w:r>
    </w:p>
    <w:p>
      <w:pPr>
        <w:pStyle w:val="165"/>
      </w:pPr>
      <w:r>
        <w:rPr>
          <w:rFonts w:hint="eastAsia"/>
        </w:rPr>
        <w:t>建立入库献血者的管理程序，每年至少1次维护和评估献血者情况、淘汰不符合标准的献血者和流失献血者，并屏蔽有关数据。</w:t>
      </w:r>
    </w:p>
    <w:p>
      <w:pPr>
        <w:pStyle w:val="165"/>
      </w:pPr>
      <w:r>
        <w:rPr>
          <w:rFonts w:hint="eastAsia"/>
        </w:rPr>
        <w:t>对入库数据进行抽样分析，宜包括献血者联系情况、检测数据、更新数据信息情况，抽样频率每年至少1次。</w:t>
      </w:r>
    </w:p>
    <w:p>
      <w:pPr>
        <w:pStyle w:val="165"/>
      </w:pPr>
      <w:r>
        <w:rPr>
          <w:rFonts w:hint="eastAsia"/>
        </w:rPr>
        <w:t>每年至少进行1次数据更新和备份。</w:t>
      </w:r>
    </w:p>
    <w:p>
      <w:pPr>
        <w:pStyle w:val="106"/>
        <w:spacing w:before="120" w:after="120"/>
      </w:pPr>
      <w:bookmarkStart w:id="114" w:name="_Toc63667100"/>
      <w:r>
        <w:rPr>
          <w:rFonts w:hint="eastAsia"/>
        </w:rPr>
        <w:t>资料库应用</w:t>
      </w:r>
      <w:bookmarkEnd w:id="114"/>
    </w:p>
    <w:p>
      <w:pPr>
        <w:pStyle w:val="66"/>
        <w:spacing w:before="120" w:after="120"/>
      </w:pPr>
      <w:r>
        <w:rPr>
          <w:rFonts w:hint="eastAsia"/>
        </w:rPr>
        <w:t>资料库应用范畴</w:t>
      </w:r>
    </w:p>
    <w:p>
      <w:pPr>
        <w:pStyle w:val="57"/>
        <w:ind w:firstLine="420"/>
      </w:pPr>
      <w:r>
        <w:rPr>
          <w:rFonts w:hint="eastAsia"/>
        </w:rPr>
        <w:t>在资料库内检索与受血者HLA和(或)HPA基因型、和(或)CD36抗原配合或者抗体规避的血小板献血者（配合血小板献血者），利用相应献血者已捐献的库存血小板或新招募采集的血小板，减少血小板抗原、抗体引起的同种免疫反应。应用范畴包括但不限于以下内容所列项：预防多次输注血小板引起的潜在免疫刺激、治疗免疫性因素引起的血小板输注无效、治疗新生儿同种免疫性血小板减少性紫癜。</w:t>
      </w:r>
    </w:p>
    <w:p>
      <w:pPr>
        <w:pStyle w:val="66"/>
        <w:spacing w:before="120" w:after="120"/>
      </w:pPr>
      <w:r>
        <w:rPr>
          <w:rFonts w:hint="eastAsia"/>
        </w:rPr>
        <w:t>应用申请</w:t>
      </w:r>
    </w:p>
    <w:p>
      <w:pPr>
        <w:pStyle w:val="165"/>
      </w:pPr>
      <w:r>
        <w:rPr>
          <w:rFonts w:hint="eastAsia"/>
        </w:rPr>
        <w:t>医疗机构依据患者情况填写配型血小板申请，宜明确选择HLA、HPA、CD36配合的类型。</w:t>
      </w:r>
    </w:p>
    <w:p>
      <w:pPr>
        <w:pStyle w:val="165"/>
      </w:pPr>
      <w:r>
        <w:rPr>
          <w:rFonts w:hint="eastAsia"/>
        </w:rPr>
        <w:t>申请信息包括但不限于以下内容所列项：患者基本情况（姓名、唯一性标识码、临床诊断、输血情况和妊娠、移植等免疫史、血小板计数、输注目的、药物使用）、配型血小板要求（所需血型、配型血小板种类、血小板数量、应用时间）。可依据配型实际类型设定申请单的具体内容和格式。</w:t>
      </w:r>
    </w:p>
    <w:p>
      <w:pPr>
        <w:pStyle w:val="165"/>
      </w:pPr>
      <w:r>
        <w:rPr>
          <w:rFonts w:hint="eastAsia"/>
        </w:rPr>
        <w:t>医疗机构应依据患者检测情况，提供血小板同种抗原或血小板相关抗原对应的基因型、抗原、抗体检测结果，必要时申请委托资料库管理方检测。</w:t>
      </w:r>
    </w:p>
    <w:p>
      <w:pPr>
        <w:pStyle w:val="66"/>
        <w:spacing w:before="120" w:after="120"/>
      </w:pPr>
      <w:r>
        <w:rPr>
          <w:rFonts w:hint="eastAsia"/>
        </w:rPr>
        <w:t>ABO血型的选择</w:t>
      </w:r>
    </w:p>
    <w:p>
      <w:pPr>
        <w:pStyle w:val="57"/>
        <w:ind w:firstLine="420"/>
      </w:pPr>
      <w:r>
        <w:rPr>
          <w:rFonts w:hint="eastAsia"/>
        </w:rPr>
        <w:t>一般首选与患者ABO同型的献血者；ABO同型献血者缺乏时，应综合考虑患者年龄、血容量和免疫状态、献血者血型抗体效价等因素后，选择ABO血型次侧或主侧配合的献血者。造血干细胞移植或某些特定类型（嵌合、ABO亚型等）的患者应按照临床需求进行选择。</w:t>
      </w:r>
    </w:p>
    <w:p>
      <w:pPr>
        <w:pStyle w:val="66"/>
        <w:spacing w:before="120" w:after="120"/>
      </w:pPr>
      <w:r>
        <w:rPr>
          <w:rFonts w:hint="eastAsia"/>
        </w:rPr>
        <w:t>配合血小板献血者检索</w:t>
      </w:r>
    </w:p>
    <w:p>
      <w:pPr>
        <w:pStyle w:val="165"/>
      </w:pPr>
      <w:r>
        <w:rPr>
          <w:rFonts w:hint="eastAsia"/>
        </w:rPr>
        <w:t>进行供受者HLA、HPA或者CD36的配合检索时，应根据不同应用情形和患者产生的抗体特性，选择不同方式的配合性血小板供者。当患者无HLA、HPA、CD36抗体，避免免疫刺激的预防性输注宜考虑基因型或者抗原配合原则；当患者产生HLA、HPA、CD36抗体，应采用患者抗体对应抗原规避的原则，选择相应抗原阴性的献血者。当患者只存在HLA、HPA、CD36单一性抗体，宜分别考虑规避单一抗体对应抗原的配合；若存在多种混合抗体，则配合时需要综合考虑规避这些混合抗体对应的抗原。</w:t>
      </w:r>
    </w:p>
    <w:p>
      <w:pPr>
        <w:pStyle w:val="165"/>
      </w:pPr>
      <w:r>
        <w:rPr>
          <w:rFonts w:hint="eastAsia"/>
        </w:rPr>
        <w:t>根据基因型或抗原的种类，分为HLA基因型（或抗原）配合、HPA基因型（或抗原）配合、CD36抗原配合。</w:t>
      </w:r>
    </w:p>
    <w:p>
      <w:pPr>
        <w:pStyle w:val="165"/>
      </w:pPr>
      <w:r>
        <w:rPr>
          <w:rFonts w:hint="eastAsia"/>
        </w:rPr>
        <w:t>HLA基因型（或抗原）配合模式可分为HLA抗原CREG配合、HLA表位配合、规避DSA对应抗原。依据患者的情况，选择不同模式检索配合血小板献血者。供受者HLA抗原CREG配合等级见附录B。</w:t>
      </w:r>
    </w:p>
    <w:p>
      <w:pPr>
        <w:pStyle w:val="165"/>
      </w:pPr>
      <w:r>
        <w:rPr>
          <w:rFonts w:hint="eastAsia"/>
        </w:rPr>
        <w:t>HPA基因型（或抗原）配合，应遵循规避患者HPA抗体对应抗原的原则或HPA基因配合的原则检索献血者。当患者无HPA抗体时，若需要避免免疫刺激的预防性输注，可选择HPA基因型相同的献血者；当患者存在HPA抗体时，应选择规避患者HPA抗体对应抗原的原则。</w:t>
      </w:r>
    </w:p>
    <w:p>
      <w:pPr>
        <w:pStyle w:val="165"/>
      </w:pPr>
      <w:r>
        <w:rPr>
          <w:rFonts w:hint="eastAsia"/>
        </w:rPr>
        <w:t>CD36抗原配合，应根据抗原表达和抗体产生情况进行选择。CD36 Ⅰ型缺失患者，若需要避免免疫刺激的预防性输注，宜选择CD36 Ⅰ型或Ⅱ型缺失献血者；当患者存在CD36抗体，宜首选CD36 Ⅰ型缺失献血者，根据情况也可选择CD36 Ⅱ型缺失献血者。</w:t>
      </w:r>
    </w:p>
    <w:p>
      <w:pPr>
        <w:pStyle w:val="165"/>
      </w:pPr>
      <w:r>
        <w:rPr>
          <w:rFonts w:hint="eastAsia"/>
        </w:rPr>
        <w:t>本地资料库检索应包括资料库数据和库存血小板。当本地资料库检索不能满足需求时，宜进行区域性或全国性联网检索和配型血小板调配。联网检索可采用委托检索、远程访问等方式，血小板调配应符合《血站管理办法》的规定。</w:t>
      </w:r>
    </w:p>
    <w:p>
      <w:pPr>
        <w:pStyle w:val="66"/>
        <w:spacing w:before="120" w:after="120"/>
      </w:pPr>
      <w:r>
        <w:rPr>
          <w:rFonts w:hint="eastAsia"/>
        </w:rPr>
        <w:t>检索报告</w:t>
      </w:r>
    </w:p>
    <w:p>
      <w:pPr>
        <w:pStyle w:val="57"/>
        <w:ind w:firstLine="420"/>
      </w:pPr>
      <w:r>
        <w:rPr>
          <w:rFonts w:hint="eastAsia"/>
        </w:rPr>
        <w:t>检索报告用于血站内检索招募献血者。报告内容包括但不限于以下所列项：申请医疗机构，患者标识和ABO血型，配合献血者的唯一性标识、ABO血型和基因/抗原结果，供受者匹配程度（CREG配合等级、规避DSA对应抗原、表位配合等级）。检索报告中按照供受者匹配程度排序列出献血者的唯一性标识，便于献血者招募。</w:t>
      </w:r>
    </w:p>
    <w:p>
      <w:pPr>
        <w:pStyle w:val="66"/>
        <w:spacing w:before="120" w:after="120"/>
      </w:pPr>
      <w:r>
        <w:rPr>
          <w:rFonts w:hint="eastAsia"/>
        </w:rPr>
        <w:t>配型血小板采集、标识和发放</w:t>
      </w:r>
    </w:p>
    <w:p>
      <w:pPr>
        <w:pStyle w:val="57"/>
        <w:ind w:firstLine="420"/>
      </w:pPr>
      <w:r>
        <w:rPr>
          <w:rFonts w:hint="eastAsia"/>
        </w:rPr>
        <w:t>根据检索报告，优先在库存血中寻找配合血小板；缺乏库存的匹配血小板时，招募相应的献血者捐献血小板。配合血小板献血者招募后的健康检查、血小板采集、血液检测等流程的要求遵照《血站技术操作规程》，配合血小板的质量应符合GB18469《全血及成分血质量要求》的规定。应对库存或招募采集的配型血小板进行标识，配型血小板和配型报告（见4.6.7）宜同步发往医疗机构。</w:t>
      </w:r>
    </w:p>
    <w:p>
      <w:pPr>
        <w:pStyle w:val="66"/>
        <w:spacing w:before="120" w:after="120"/>
      </w:pPr>
      <w:r>
        <w:rPr>
          <w:rFonts w:hint="eastAsia"/>
        </w:rPr>
        <w:t>配型报告</w:t>
      </w:r>
    </w:p>
    <w:p>
      <w:pPr>
        <w:pStyle w:val="57"/>
        <w:ind w:firstLine="420"/>
      </w:pPr>
      <w:r>
        <w:rPr>
          <w:rFonts w:hint="eastAsia"/>
        </w:rPr>
        <w:t>报告内容包括但不限于以下所列项：患者唯一性标识号、申请医疗机构名称、配合血小板唯一性标识号、匹配类型、供受者匹配等级。报告应保留至少10年。</w:t>
      </w:r>
    </w:p>
    <w:p>
      <w:pPr>
        <w:pStyle w:val="66"/>
        <w:spacing w:before="120" w:after="120"/>
      </w:pPr>
      <w:r>
        <w:rPr>
          <w:rFonts w:hint="eastAsia"/>
        </w:rPr>
        <w:t>配合性输注效果</w:t>
      </w:r>
    </w:p>
    <w:p>
      <w:pPr>
        <w:pStyle w:val="57"/>
        <w:ind w:firstLine="420"/>
      </w:pPr>
      <w:r>
        <w:rPr>
          <w:rFonts w:hint="eastAsia"/>
        </w:rPr>
        <w:t>应及时收集临床应用数据，包括患者止血、血小板计数增加值、非同种免疫因素等情况，利用校准血小板计数增加值（CCI）、血小板回收率（PPR)等指标评估配合性输注效果</w:t>
      </w:r>
      <w:bookmarkStart w:id="115" w:name="BookMark6"/>
      <w:r>
        <w:rPr>
          <w:rFonts w:hint="eastAsia"/>
        </w:rPr>
        <w:t>。</w:t>
      </w:r>
    </w:p>
    <w:p>
      <w:pPr>
        <w:pStyle w:val="57"/>
        <w:ind w:firstLine="420"/>
        <w:sectPr>
          <w:headerReference r:id="rId15" w:type="default"/>
          <w:footerReference r:id="rId17" w:type="default"/>
          <w:headerReference r:id="rId16" w:type="even"/>
          <w:footerReference r:id="rId18" w:type="even"/>
          <w:pgSz w:w="11906" w:h="16838"/>
          <w:pgMar w:top="567" w:right="1134" w:bottom="1134" w:left="1134" w:header="1418" w:footer="1134" w:gutter="284"/>
          <w:pgNumType w:start="1"/>
          <w:cols w:space="425" w:num="1"/>
          <w:formProt w:val="0"/>
          <w:docGrid w:linePitch="312" w:charSpace="0"/>
        </w:sectPr>
      </w:pPr>
    </w:p>
    <w:bookmarkEnd w:id="36"/>
    <w:p>
      <w:pPr>
        <w:pStyle w:val="199"/>
        <w:rPr>
          <w:vanish w:val="0"/>
        </w:rPr>
      </w:pPr>
      <w:bookmarkStart w:id="116" w:name="BookMark5"/>
    </w:p>
    <w:p>
      <w:pPr>
        <w:pStyle w:val="200"/>
        <w:rPr>
          <w:vanish w:val="0"/>
        </w:rPr>
      </w:pPr>
    </w:p>
    <w:p>
      <w:pPr>
        <w:pStyle w:val="77"/>
        <w:spacing w:before="60" w:after="120"/>
      </w:pPr>
      <w:r>
        <w:br w:type="textWrapping"/>
      </w:r>
      <w:bookmarkStart w:id="117" w:name="_Toc63769331"/>
      <w:r>
        <w:rPr>
          <w:rFonts w:hint="eastAsia"/>
        </w:rPr>
        <w:t>（资料性）</w:t>
      </w:r>
      <w:r>
        <w:br w:type="textWrapping"/>
      </w:r>
      <w:r>
        <w:rPr>
          <w:rFonts w:hint="eastAsia"/>
        </w:rPr>
        <w:t>HLA I类抗原交叉反应组</w:t>
      </w:r>
      <w:bookmarkEnd w:id="117"/>
    </w:p>
    <w:p>
      <w:pPr>
        <w:pStyle w:val="57"/>
        <w:ind w:firstLine="420"/>
      </w:pPr>
      <w:r>
        <w:rPr>
          <w:rFonts w:hint="eastAsia"/>
        </w:rPr>
        <w:t>图A.1给出了HLA-A位点交叉反应图示</w:t>
      </w:r>
    </w:p>
    <w:p>
      <w:pPr>
        <w:pStyle w:val="57"/>
        <w:ind w:firstLine="420"/>
      </w:pPr>
      <w:r>
        <w:drawing>
          <wp:inline distT="0" distB="0" distL="0" distR="0">
            <wp:extent cx="4937760" cy="3048000"/>
            <wp:effectExtent l="1905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34" cstate="print"/>
                    <a:srcRect/>
                    <a:stretch>
                      <a:fillRect/>
                    </a:stretch>
                  </pic:blipFill>
                  <pic:spPr>
                    <a:xfrm>
                      <a:off x="0" y="0"/>
                      <a:ext cx="4939862" cy="3049297"/>
                    </a:xfrm>
                    <a:prstGeom prst="rect">
                      <a:avLst/>
                    </a:prstGeom>
                    <a:noFill/>
                    <a:ln w="9525">
                      <a:noFill/>
                      <a:miter lim="800000"/>
                      <a:headEnd/>
                      <a:tailEnd/>
                    </a:ln>
                  </pic:spPr>
                </pic:pic>
              </a:graphicData>
            </a:graphic>
          </wp:inline>
        </w:drawing>
      </w:r>
    </w:p>
    <w:p>
      <w:pPr>
        <w:pStyle w:val="84"/>
        <w:spacing w:before="120" w:after="120"/>
      </w:pPr>
      <w:r>
        <w:rPr>
          <w:rFonts w:hint="eastAsia"/>
        </w:rPr>
        <w:t>HLA-A位点</w:t>
      </w:r>
    </w:p>
    <w:p>
      <w:pPr>
        <w:pStyle w:val="57"/>
        <w:ind w:firstLine="420"/>
      </w:pPr>
    </w:p>
    <w:p>
      <w:pPr>
        <w:pStyle w:val="57"/>
        <w:ind w:firstLine="420"/>
      </w:pPr>
      <w:r>
        <w:rPr>
          <w:rFonts w:hint="eastAsia"/>
        </w:rPr>
        <w:t>图A.2给出了HLA-B位点交叉反应图示</w:t>
      </w:r>
    </w:p>
    <w:p>
      <w:pPr>
        <w:pStyle w:val="79"/>
        <w:numPr>
          <w:ilvl w:val="0"/>
          <w:numId w:val="0"/>
        </w:numPr>
        <w:spacing w:before="120" w:after="120"/>
        <w:ind w:left="420" w:firstLine="420" w:firstLineChars="200"/>
      </w:pPr>
    </w:p>
    <w:p>
      <w:pPr>
        <w:pStyle w:val="57"/>
        <w:ind w:firstLine="420"/>
      </w:pPr>
      <w:r>
        <w:rPr>
          <w:rFonts w:hint="eastAsia"/>
        </w:rPr>
        <w:drawing>
          <wp:inline distT="0" distB="0" distL="0" distR="0">
            <wp:extent cx="5000625" cy="3056255"/>
            <wp:effectExtent l="1905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35" cstate="print"/>
                    <a:srcRect/>
                    <a:stretch>
                      <a:fillRect/>
                    </a:stretch>
                  </pic:blipFill>
                  <pic:spPr>
                    <a:xfrm>
                      <a:off x="0" y="0"/>
                      <a:ext cx="5000625" cy="3056358"/>
                    </a:xfrm>
                    <a:prstGeom prst="rect">
                      <a:avLst/>
                    </a:prstGeom>
                    <a:noFill/>
                    <a:ln w="9525">
                      <a:noFill/>
                      <a:miter lim="800000"/>
                      <a:headEnd/>
                      <a:tailEnd/>
                    </a:ln>
                  </pic:spPr>
                </pic:pic>
              </a:graphicData>
            </a:graphic>
          </wp:inline>
        </w:drawing>
      </w:r>
    </w:p>
    <w:p>
      <w:pPr>
        <w:pStyle w:val="84"/>
        <w:spacing w:before="120" w:after="120"/>
      </w:pPr>
      <w:r>
        <w:rPr>
          <w:rFonts w:hint="eastAsia"/>
        </w:rPr>
        <w:t xml:space="preserve"> HLA-B位点</w:t>
      </w:r>
    </w:p>
    <w:p>
      <w:pPr>
        <w:pStyle w:val="57"/>
        <w:ind w:firstLine="420"/>
      </w:pPr>
    </w:p>
    <w:p>
      <w:pPr>
        <w:pStyle w:val="84"/>
        <w:numPr>
          <w:ilvl w:val="0"/>
          <w:numId w:val="0"/>
        </w:numPr>
        <w:spacing w:before="120" w:after="120"/>
        <w:ind w:left="420"/>
        <w:jc w:val="both"/>
        <w:sectPr>
          <w:headerReference r:id="rId19" w:type="default"/>
          <w:footerReference r:id="rId21" w:type="default"/>
          <w:headerReference r:id="rId20" w:type="even"/>
          <w:footerReference r:id="rId22" w:type="even"/>
          <w:pgSz w:w="11906" w:h="16838"/>
          <w:pgMar w:top="567" w:right="1134" w:bottom="1134" w:left="1134" w:header="1418" w:footer="1134" w:gutter="284"/>
          <w:cols w:space="425" w:num="1"/>
          <w:formProt w:val="0"/>
          <w:docGrid w:linePitch="312" w:charSpace="0"/>
        </w:sectPr>
      </w:pPr>
    </w:p>
    <w:p>
      <w:pPr>
        <w:pStyle w:val="199"/>
        <w:rPr>
          <w:vanish w:val="0"/>
        </w:rPr>
      </w:pPr>
    </w:p>
    <w:p>
      <w:pPr>
        <w:pStyle w:val="200"/>
        <w:rPr>
          <w:vanish w:val="0"/>
        </w:rPr>
      </w:pPr>
    </w:p>
    <w:p>
      <w:pPr>
        <w:pStyle w:val="77"/>
        <w:spacing w:before="60" w:after="120"/>
      </w:pPr>
      <w:r>
        <w:br w:type="textWrapping"/>
      </w:r>
      <w:bookmarkStart w:id="118" w:name="_Toc63769332"/>
      <w:r>
        <w:rPr>
          <w:rFonts w:hint="eastAsia"/>
        </w:rPr>
        <w:t>（资料性）</w:t>
      </w:r>
      <w:r>
        <w:br w:type="textWrapping"/>
      </w:r>
    </w:p>
    <w:p>
      <w:pPr>
        <w:pStyle w:val="57"/>
        <w:ind w:firstLine="420"/>
      </w:pPr>
      <w:r>
        <w:rPr>
          <w:rFonts w:hint="eastAsia"/>
        </w:rPr>
        <w:t xml:space="preserve">  表B.1规定了文件中供受者HLA抗原CREG配合等级</w:t>
      </w:r>
    </w:p>
    <w:p>
      <w:pPr>
        <w:pStyle w:val="78"/>
        <w:spacing w:before="120" w:after="120"/>
      </w:pPr>
      <w:r>
        <w:rPr>
          <w:rFonts w:hint="eastAsia"/>
        </w:rPr>
        <w:t>供受者HLA抗原CREG配合等级</w:t>
      </w:r>
      <w:bookmarkEnd w:id="118"/>
    </w:p>
    <w:tbl>
      <w:tblPr>
        <w:tblStyle w:val="28"/>
        <w:tblW w:w="8581"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320"/>
        <w:gridCol w:w="2268"/>
        <w:gridCol w:w="3544"/>
        <w:gridCol w:w="144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629" w:hRule="atLeast"/>
          <w:tblHeader/>
          <w:jc w:val="center"/>
        </w:trPr>
        <w:tc>
          <w:tcPr>
            <w:tcW w:w="1320" w:type="dxa"/>
            <w:tcBorders>
              <w:top w:val="single" w:color="auto" w:sz="8" w:space="0"/>
              <w:left w:val="nil"/>
              <w:bottom w:val="single" w:color="auto" w:sz="8" w:space="0"/>
              <w:right w:val="nil"/>
            </w:tcBorders>
            <w:shd w:val="clear" w:color="auto" w:fill="auto"/>
            <w:vAlign w:val="center"/>
          </w:tcPr>
          <w:p>
            <w:pPr>
              <w:pStyle w:val="179"/>
              <w:snapToGrid w:val="0"/>
              <w:rPr>
                <w:rFonts w:hAnsi="宋体"/>
                <w:sz w:val="21"/>
                <w:szCs w:val="21"/>
              </w:rPr>
            </w:pPr>
          </w:p>
        </w:tc>
        <w:tc>
          <w:tcPr>
            <w:tcW w:w="2268" w:type="dxa"/>
            <w:tcBorders>
              <w:top w:val="single" w:color="auto" w:sz="8" w:space="0"/>
              <w:left w:val="nil"/>
              <w:bottom w:val="single" w:color="auto" w:sz="8" w:space="0"/>
              <w:right w:val="nil"/>
            </w:tcBorders>
            <w:shd w:val="clear" w:color="auto" w:fill="auto"/>
            <w:vAlign w:val="center"/>
          </w:tcPr>
          <w:p>
            <w:pPr>
              <w:pStyle w:val="231"/>
              <w:snapToGrid w:val="0"/>
              <w:ind w:firstLine="0" w:firstLineChars="0"/>
              <w:jc w:val="center"/>
              <w:rPr>
                <w:rFonts w:hAnsi="宋体"/>
                <w:szCs w:val="21"/>
              </w:rPr>
            </w:pPr>
            <w:r>
              <w:rPr>
                <w:rFonts w:hint="eastAsia" w:hAnsi="宋体"/>
                <w:szCs w:val="21"/>
              </w:rPr>
              <w:t>HLA抗原举例</w:t>
            </w:r>
          </w:p>
        </w:tc>
        <w:tc>
          <w:tcPr>
            <w:tcW w:w="3544" w:type="dxa"/>
            <w:tcBorders>
              <w:top w:val="single" w:color="auto" w:sz="8" w:space="0"/>
              <w:left w:val="nil"/>
              <w:bottom w:val="single" w:color="auto" w:sz="8" w:space="0"/>
              <w:right w:val="nil"/>
            </w:tcBorders>
            <w:shd w:val="clear" w:color="auto" w:fill="auto"/>
            <w:vAlign w:val="center"/>
          </w:tcPr>
          <w:p>
            <w:pPr>
              <w:pStyle w:val="231"/>
              <w:snapToGrid w:val="0"/>
              <w:ind w:firstLine="0" w:firstLineChars="0"/>
              <w:jc w:val="center"/>
              <w:rPr>
                <w:rFonts w:hAnsi="宋体"/>
                <w:szCs w:val="21"/>
              </w:rPr>
            </w:pPr>
            <w:r>
              <w:rPr>
                <w:rFonts w:hAnsi="宋体"/>
                <w:szCs w:val="21"/>
              </w:rPr>
              <w:t>描述</w:t>
            </w:r>
          </w:p>
        </w:tc>
        <w:tc>
          <w:tcPr>
            <w:tcW w:w="1449" w:type="dxa"/>
            <w:tcBorders>
              <w:top w:val="single" w:color="auto" w:sz="8" w:space="0"/>
              <w:left w:val="nil"/>
              <w:bottom w:val="single" w:color="auto" w:sz="8" w:space="0"/>
              <w:right w:val="nil"/>
            </w:tcBorders>
            <w:shd w:val="clear" w:color="auto" w:fill="auto"/>
            <w:vAlign w:val="center"/>
          </w:tcPr>
          <w:p>
            <w:pPr>
              <w:pStyle w:val="231"/>
              <w:snapToGrid w:val="0"/>
              <w:ind w:firstLine="0" w:firstLineChars="0"/>
              <w:jc w:val="center"/>
              <w:rPr>
                <w:rFonts w:hAnsi="宋体"/>
                <w:szCs w:val="21"/>
              </w:rPr>
            </w:pPr>
            <w:r>
              <w:rPr>
                <w:rFonts w:hAnsi="宋体"/>
                <w:szCs w:val="21"/>
              </w:rPr>
              <w:t>配合等级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629" w:hRule="atLeast"/>
          <w:jc w:val="center"/>
        </w:trPr>
        <w:tc>
          <w:tcPr>
            <w:tcW w:w="1320" w:type="dxa"/>
            <w:tcBorders>
              <w:top w:val="single" w:color="auto" w:sz="8" w:space="0"/>
              <w:left w:val="nil"/>
              <w:bottom w:val="nil"/>
              <w:right w:val="nil"/>
            </w:tcBorders>
            <w:shd w:val="clear" w:color="auto" w:fill="auto"/>
            <w:vAlign w:val="center"/>
          </w:tcPr>
          <w:p>
            <w:pPr>
              <w:pStyle w:val="231"/>
              <w:snapToGrid w:val="0"/>
              <w:ind w:firstLine="0" w:firstLineChars="0"/>
              <w:jc w:val="center"/>
              <w:rPr>
                <w:rFonts w:hAnsi="宋体"/>
                <w:szCs w:val="21"/>
              </w:rPr>
            </w:pPr>
            <w:r>
              <w:rPr>
                <w:rFonts w:hAnsi="宋体"/>
                <w:szCs w:val="21"/>
              </w:rPr>
              <w:t>患者</w:t>
            </w:r>
          </w:p>
        </w:tc>
        <w:tc>
          <w:tcPr>
            <w:tcW w:w="2268" w:type="dxa"/>
            <w:tcBorders>
              <w:top w:val="single" w:color="auto" w:sz="8" w:space="0"/>
              <w:left w:val="nil"/>
              <w:bottom w:val="nil"/>
              <w:right w:val="nil"/>
            </w:tcBorders>
            <w:shd w:val="clear" w:color="auto" w:fill="auto"/>
            <w:vAlign w:val="center"/>
          </w:tcPr>
          <w:p>
            <w:pPr>
              <w:spacing w:line="240" w:lineRule="auto"/>
              <w:jc w:val="center"/>
              <w:rPr>
                <w:rFonts w:ascii="宋体" w:hAnsi="宋体"/>
              </w:rPr>
            </w:pPr>
            <w:r>
              <w:rPr>
                <w:rFonts w:hint="eastAsia" w:ascii="宋体" w:hAnsi="宋体"/>
              </w:rPr>
              <w:t>A1,31；B7,62</w:t>
            </w:r>
          </w:p>
        </w:tc>
        <w:tc>
          <w:tcPr>
            <w:tcW w:w="3544" w:type="dxa"/>
            <w:tcBorders>
              <w:top w:val="single" w:color="auto" w:sz="8" w:space="0"/>
              <w:left w:val="nil"/>
              <w:bottom w:val="nil"/>
              <w:right w:val="nil"/>
            </w:tcBorders>
            <w:shd w:val="clear" w:color="auto" w:fill="auto"/>
            <w:vAlign w:val="center"/>
          </w:tcPr>
          <w:p>
            <w:pPr>
              <w:spacing w:line="240" w:lineRule="auto"/>
              <w:jc w:val="center"/>
              <w:rPr>
                <w:rFonts w:ascii="宋体" w:hAnsi="宋体"/>
              </w:rPr>
            </w:pPr>
            <w:r>
              <w:rPr>
                <w:rFonts w:hint="eastAsia" w:ascii="宋体" w:hAnsi="宋体"/>
              </w:rPr>
              <w:t>/</w:t>
            </w:r>
          </w:p>
        </w:tc>
        <w:tc>
          <w:tcPr>
            <w:tcW w:w="1449" w:type="dxa"/>
            <w:tcBorders>
              <w:top w:val="single" w:color="auto" w:sz="8" w:space="0"/>
              <w:left w:val="nil"/>
              <w:bottom w:val="nil"/>
              <w:right w:val="nil"/>
            </w:tcBorders>
            <w:shd w:val="clear" w:color="auto" w:fill="auto"/>
            <w:vAlign w:val="center"/>
          </w:tcPr>
          <w:p>
            <w:pPr>
              <w:spacing w:line="240" w:lineRule="auto"/>
              <w:jc w:val="center"/>
              <w:rPr>
                <w:rFonts w:ascii="宋体" w:hAnsi="宋体"/>
              </w:rPr>
            </w:pPr>
            <w:r>
              <w:rPr>
                <w:rFonts w:hint="eastAsia" w:ascii="宋体" w:hAnsi="宋体"/>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91" w:hRule="atLeast"/>
          <w:jc w:val="center"/>
        </w:trPr>
        <w:tc>
          <w:tcPr>
            <w:tcW w:w="1320" w:type="dxa"/>
            <w:tcBorders>
              <w:top w:val="nil"/>
              <w:left w:val="nil"/>
              <w:bottom w:val="nil"/>
              <w:right w:val="nil"/>
            </w:tcBorders>
            <w:shd w:val="clear" w:color="auto" w:fill="auto"/>
            <w:vAlign w:val="center"/>
          </w:tcPr>
          <w:p>
            <w:pPr>
              <w:pStyle w:val="231"/>
              <w:snapToGrid w:val="0"/>
              <w:ind w:firstLine="0" w:firstLineChars="0"/>
              <w:jc w:val="center"/>
              <w:rPr>
                <w:rFonts w:hAnsi="宋体"/>
                <w:szCs w:val="21"/>
              </w:rPr>
            </w:pPr>
            <w:r>
              <w:rPr>
                <w:rFonts w:hAnsi="宋体"/>
                <w:szCs w:val="21"/>
              </w:rPr>
              <w:t>献血者</w:t>
            </w:r>
            <w:r>
              <w:rPr>
                <w:rFonts w:hint="eastAsia" w:hAnsi="宋体"/>
                <w:szCs w:val="21"/>
              </w:rPr>
              <w:t>1</w:t>
            </w:r>
          </w:p>
        </w:tc>
        <w:tc>
          <w:tcPr>
            <w:tcW w:w="2268" w:type="dxa"/>
            <w:tcBorders>
              <w:top w:val="nil"/>
              <w:left w:val="nil"/>
              <w:bottom w:val="nil"/>
              <w:right w:val="nil"/>
            </w:tcBorders>
            <w:shd w:val="clear" w:color="auto" w:fill="auto"/>
            <w:vAlign w:val="center"/>
          </w:tcPr>
          <w:p>
            <w:pPr>
              <w:spacing w:line="240" w:lineRule="auto"/>
              <w:jc w:val="center"/>
              <w:rPr>
                <w:rFonts w:ascii="宋体" w:hAnsi="宋体"/>
              </w:rPr>
            </w:pPr>
            <w:r>
              <w:rPr>
                <w:rFonts w:hint="eastAsia" w:ascii="宋体" w:hAnsi="宋体"/>
              </w:rPr>
              <w:t>A1,31；B7,62</w:t>
            </w:r>
          </w:p>
        </w:tc>
        <w:tc>
          <w:tcPr>
            <w:tcW w:w="3544" w:type="dxa"/>
            <w:tcBorders>
              <w:top w:val="nil"/>
              <w:left w:val="nil"/>
              <w:bottom w:val="nil"/>
              <w:right w:val="nil"/>
            </w:tcBorders>
            <w:shd w:val="clear" w:color="auto" w:fill="auto"/>
            <w:vAlign w:val="center"/>
          </w:tcPr>
          <w:p>
            <w:pPr>
              <w:spacing w:line="240" w:lineRule="auto"/>
              <w:jc w:val="center"/>
              <w:rPr>
                <w:rFonts w:ascii="宋体" w:hAnsi="宋体"/>
              </w:rPr>
            </w:pPr>
            <w:r>
              <w:rPr>
                <w:rFonts w:hint="eastAsia" w:ascii="宋体" w:hAnsi="宋体"/>
              </w:rPr>
              <w:t>4个抗原配合</w:t>
            </w:r>
          </w:p>
        </w:tc>
        <w:tc>
          <w:tcPr>
            <w:tcW w:w="1449" w:type="dxa"/>
            <w:tcBorders>
              <w:top w:val="nil"/>
              <w:left w:val="nil"/>
              <w:bottom w:val="nil"/>
              <w:right w:val="nil"/>
            </w:tcBorders>
            <w:shd w:val="clear" w:color="auto" w:fill="auto"/>
            <w:vAlign w:val="center"/>
          </w:tcPr>
          <w:p>
            <w:pPr>
              <w:spacing w:line="240" w:lineRule="auto"/>
              <w:jc w:val="center"/>
              <w:rPr>
                <w:rFonts w:ascii="宋体" w:hAnsi="宋体"/>
              </w:rPr>
            </w:pPr>
            <w:r>
              <w:rPr>
                <w:rFonts w:hint="eastAsia" w:ascii="宋体" w:hAnsi="宋体"/>
              </w:rPr>
              <w: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91" w:hRule="atLeast"/>
          <w:jc w:val="center"/>
        </w:trPr>
        <w:tc>
          <w:tcPr>
            <w:tcW w:w="1320" w:type="dxa"/>
            <w:tcBorders>
              <w:top w:val="nil"/>
              <w:left w:val="nil"/>
              <w:bottom w:val="nil"/>
              <w:right w:val="nil"/>
            </w:tcBorders>
            <w:shd w:val="clear" w:color="auto" w:fill="auto"/>
            <w:vAlign w:val="center"/>
          </w:tcPr>
          <w:p>
            <w:pPr>
              <w:pStyle w:val="231"/>
              <w:snapToGrid w:val="0"/>
              <w:ind w:firstLine="0" w:firstLineChars="0"/>
              <w:jc w:val="center"/>
              <w:rPr>
                <w:rFonts w:hAnsi="宋体"/>
                <w:szCs w:val="21"/>
              </w:rPr>
            </w:pPr>
            <w:r>
              <w:rPr>
                <w:rFonts w:hAnsi="宋体"/>
                <w:szCs w:val="21"/>
              </w:rPr>
              <w:t>献血者</w:t>
            </w:r>
            <w:r>
              <w:rPr>
                <w:rFonts w:hint="eastAsia" w:hAnsi="宋体"/>
                <w:szCs w:val="21"/>
              </w:rPr>
              <w:t>2</w:t>
            </w:r>
          </w:p>
        </w:tc>
        <w:tc>
          <w:tcPr>
            <w:tcW w:w="2268" w:type="dxa"/>
            <w:tcBorders>
              <w:top w:val="nil"/>
              <w:left w:val="nil"/>
              <w:bottom w:val="nil"/>
              <w:right w:val="nil"/>
            </w:tcBorders>
            <w:shd w:val="clear" w:color="auto" w:fill="auto"/>
            <w:vAlign w:val="center"/>
          </w:tcPr>
          <w:p>
            <w:pPr>
              <w:spacing w:line="240" w:lineRule="auto"/>
              <w:jc w:val="center"/>
              <w:rPr>
                <w:rFonts w:ascii="宋体" w:hAnsi="宋体"/>
              </w:rPr>
            </w:pPr>
            <w:r>
              <w:rPr>
                <w:rFonts w:hint="eastAsia" w:ascii="宋体" w:hAnsi="宋体"/>
              </w:rPr>
              <w:t>A1,-；B7,62</w:t>
            </w:r>
          </w:p>
        </w:tc>
        <w:tc>
          <w:tcPr>
            <w:tcW w:w="3544" w:type="dxa"/>
            <w:tcBorders>
              <w:top w:val="nil"/>
              <w:left w:val="nil"/>
              <w:bottom w:val="nil"/>
              <w:right w:val="nil"/>
            </w:tcBorders>
            <w:shd w:val="clear" w:color="auto" w:fill="auto"/>
            <w:vAlign w:val="center"/>
          </w:tcPr>
          <w:p>
            <w:pPr>
              <w:spacing w:line="240" w:lineRule="auto"/>
              <w:jc w:val="center"/>
              <w:rPr>
                <w:rFonts w:ascii="宋体" w:hAnsi="宋体"/>
              </w:rPr>
            </w:pPr>
            <w:r>
              <w:rPr>
                <w:rFonts w:hint="eastAsia" w:ascii="宋体" w:hAnsi="宋体"/>
              </w:rPr>
              <w:t>1个抗原空白</w:t>
            </w:r>
          </w:p>
        </w:tc>
        <w:tc>
          <w:tcPr>
            <w:tcW w:w="1449" w:type="dxa"/>
            <w:tcBorders>
              <w:top w:val="nil"/>
              <w:left w:val="nil"/>
              <w:bottom w:val="nil"/>
              <w:right w:val="nil"/>
            </w:tcBorders>
            <w:shd w:val="clear" w:color="auto" w:fill="auto"/>
            <w:vAlign w:val="center"/>
          </w:tcPr>
          <w:p>
            <w:pPr>
              <w:spacing w:line="240" w:lineRule="auto"/>
              <w:jc w:val="center"/>
              <w:rPr>
                <w:rFonts w:ascii="宋体" w:hAnsi="宋体"/>
              </w:rPr>
            </w:pPr>
            <w:r>
              <w:rPr>
                <w:rFonts w:hint="eastAsia" w:ascii="宋体" w:hAnsi="宋体"/>
              </w:rPr>
              <w:t>B1U</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629" w:hRule="atLeast"/>
          <w:jc w:val="center"/>
        </w:trPr>
        <w:tc>
          <w:tcPr>
            <w:tcW w:w="1320" w:type="dxa"/>
            <w:tcBorders>
              <w:top w:val="nil"/>
              <w:left w:val="nil"/>
              <w:bottom w:val="nil"/>
              <w:right w:val="nil"/>
            </w:tcBorders>
            <w:shd w:val="clear" w:color="auto" w:fill="auto"/>
            <w:vAlign w:val="center"/>
          </w:tcPr>
          <w:p>
            <w:pPr>
              <w:pStyle w:val="231"/>
              <w:snapToGrid w:val="0"/>
              <w:ind w:firstLine="0" w:firstLineChars="0"/>
              <w:jc w:val="center"/>
              <w:rPr>
                <w:rFonts w:hAnsi="宋体"/>
                <w:szCs w:val="21"/>
              </w:rPr>
            </w:pPr>
            <w:r>
              <w:rPr>
                <w:rFonts w:hAnsi="宋体"/>
                <w:szCs w:val="21"/>
              </w:rPr>
              <w:t>献血者</w:t>
            </w:r>
            <w:r>
              <w:rPr>
                <w:rFonts w:hint="eastAsia" w:hAnsi="宋体"/>
                <w:szCs w:val="21"/>
              </w:rPr>
              <w:t>3</w:t>
            </w:r>
          </w:p>
        </w:tc>
        <w:tc>
          <w:tcPr>
            <w:tcW w:w="2268" w:type="dxa"/>
            <w:tcBorders>
              <w:top w:val="nil"/>
              <w:left w:val="nil"/>
              <w:bottom w:val="nil"/>
              <w:right w:val="nil"/>
            </w:tcBorders>
            <w:shd w:val="clear" w:color="auto" w:fill="auto"/>
            <w:vAlign w:val="center"/>
          </w:tcPr>
          <w:p>
            <w:pPr>
              <w:spacing w:line="240" w:lineRule="auto"/>
              <w:jc w:val="center"/>
              <w:rPr>
                <w:rFonts w:ascii="宋体" w:hAnsi="宋体"/>
              </w:rPr>
            </w:pPr>
            <w:r>
              <w:rPr>
                <w:rFonts w:hint="eastAsia" w:ascii="宋体" w:hAnsi="宋体"/>
              </w:rPr>
              <w:t>A1,31；B7,75</w:t>
            </w:r>
          </w:p>
        </w:tc>
        <w:tc>
          <w:tcPr>
            <w:tcW w:w="3544" w:type="dxa"/>
            <w:tcBorders>
              <w:top w:val="nil"/>
              <w:left w:val="nil"/>
              <w:bottom w:val="nil"/>
              <w:right w:val="nil"/>
            </w:tcBorders>
            <w:shd w:val="clear" w:color="auto" w:fill="auto"/>
            <w:vAlign w:val="center"/>
          </w:tcPr>
          <w:p>
            <w:pPr>
              <w:spacing w:line="240" w:lineRule="auto"/>
              <w:jc w:val="center"/>
              <w:rPr>
                <w:rFonts w:ascii="宋体" w:hAnsi="宋体"/>
              </w:rPr>
            </w:pPr>
            <w:r>
              <w:rPr>
                <w:rFonts w:hint="eastAsia" w:ascii="宋体" w:hAnsi="宋体"/>
              </w:rPr>
              <w:t>1个抗原交叉反应</w:t>
            </w:r>
          </w:p>
        </w:tc>
        <w:tc>
          <w:tcPr>
            <w:tcW w:w="1449" w:type="dxa"/>
            <w:tcBorders>
              <w:top w:val="nil"/>
              <w:left w:val="nil"/>
              <w:bottom w:val="nil"/>
              <w:right w:val="nil"/>
            </w:tcBorders>
            <w:shd w:val="clear" w:color="auto" w:fill="auto"/>
            <w:vAlign w:val="center"/>
          </w:tcPr>
          <w:p>
            <w:pPr>
              <w:spacing w:line="240" w:lineRule="auto"/>
              <w:jc w:val="center"/>
              <w:rPr>
                <w:rFonts w:ascii="宋体" w:hAnsi="宋体"/>
              </w:rPr>
            </w:pPr>
            <w:r>
              <w:rPr>
                <w:rFonts w:hint="eastAsia" w:ascii="宋体" w:hAnsi="宋体"/>
              </w:rPr>
              <w:t>B1X</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91" w:hRule="atLeast"/>
          <w:jc w:val="center"/>
        </w:trPr>
        <w:tc>
          <w:tcPr>
            <w:tcW w:w="1320" w:type="dxa"/>
            <w:tcBorders>
              <w:top w:val="nil"/>
              <w:left w:val="nil"/>
              <w:bottom w:val="nil"/>
              <w:right w:val="nil"/>
            </w:tcBorders>
            <w:shd w:val="clear" w:color="auto" w:fill="auto"/>
            <w:vAlign w:val="center"/>
          </w:tcPr>
          <w:p>
            <w:pPr>
              <w:pStyle w:val="231"/>
              <w:snapToGrid w:val="0"/>
              <w:ind w:firstLine="0" w:firstLineChars="0"/>
              <w:jc w:val="center"/>
              <w:rPr>
                <w:rFonts w:hAnsi="宋体"/>
                <w:szCs w:val="21"/>
              </w:rPr>
            </w:pPr>
            <w:r>
              <w:rPr>
                <w:rFonts w:hAnsi="宋体"/>
                <w:szCs w:val="21"/>
              </w:rPr>
              <w:t>献血者</w:t>
            </w:r>
            <w:r>
              <w:rPr>
                <w:rFonts w:hint="eastAsia" w:hAnsi="宋体"/>
                <w:szCs w:val="21"/>
              </w:rPr>
              <w:t>4</w:t>
            </w:r>
          </w:p>
        </w:tc>
        <w:tc>
          <w:tcPr>
            <w:tcW w:w="2268" w:type="dxa"/>
            <w:tcBorders>
              <w:top w:val="nil"/>
              <w:left w:val="nil"/>
              <w:bottom w:val="nil"/>
              <w:right w:val="nil"/>
            </w:tcBorders>
            <w:shd w:val="clear" w:color="auto" w:fill="auto"/>
            <w:vAlign w:val="center"/>
          </w:tcPr>
          <w:p>
            <w:pPr>
              <w:spacing w:line="240" w:lineRule="auto"/>
              <w:jc w:val="center"/>
              <w:rPr>
                <w:rFonts w:ascii="宋体" w:hAnsi="宋体"/>
              </w:rPr>
            </w:pPr>
            <w:r>
              <w:rPr>
                <w:rFonts w:hint="eastAsia" w:ascii="宋体" w:hAnsi="宋体"/>
              </w:rPr>
              <w:t>A1,-；B7,75</w:t>
            </w:r>
          </w:p>
        </w:tc>
        <w:tc>
          <w:tcPr>
            <w:tcW w:w="3544" w:type="dxa"/>
            <w:tcBorders>
              <w:top w:val="nil"/>
              <w:left w:val="nil"/>
              <w:bottom w:val="nil"/>
              <w:right w:val="nil"/>
            </w:tcBorders>
            <w:shd w:val="clear" w:color="auto" w:fill="auto"/>
            <w:vAlign w:val="center"/>
          </w:tcPr>
          <w:p>
            <w:pPr>
              <w:spacing w:line="240" w:lineRule="auto"/>
              <w:jc w:val="center"/>
              <w:rPr>
                <w:rFonts w:ascii="宋体" w:hAnsi="宋体"/>
              </w:rPr>
            </w:pPr>
            <w:r>
              <w:rPr>
                <w:rFonts w:hint="eastAsia" w:ascii="宋体" w:hAnsi="宋体"/>
              </w:rPr>
              <w:t>1个抗原空白，1个抗原交叉反应</w:t>
            </w:r>
          </w:p>
        </w:tc>
        <w:tc>
          <w:tcPr>
            <w:tcW w:w="1449" w:type="dxa"/>
            <w:tcBorders>
              <w:top w:val="nil"/>
              <w:left w:val="nil"/>
              <w:bottom w:val="nil"/>
              <w:right w:val="nil"/>
            </w:tcBorders>
            <w:shd w:val="clear" w:color="auto" w:fill="auto"/>
            <w:vAlign w:val="center"/>
          </w:tcPr>
          <w:p>
            <w:pPr>
              <w:spacing w:line="240" w:lineRule="auto"/>
              <w:jc w:val="center"/>
              <w:rPr>
                <w:rFonts w:ascii="宋体" w:hAnsi="宋体"/>
              </w:rPr>
            </w:pPr>
            <w:r>
              <w:rPr>
                <w:rFonts w:hint="eastAsia" w:ascii="宋体" w:hAnsi="宋体"/>
              </w:rPr>
              <w:t>B2UX</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91" w:hRule="atLeast"/>
          <w:jc w:val="center"/>
        </w:trPr>
        <w:tc>
          <w:tcPr>
            <w:tcW w:w="1320" w:type="dxa"/>
            <w:tcBorders>
              <w:top w:val="nil"/>
              <w:left w:val="nil"/>
              <w:bottom w:val="nil"/>
              <w:right w:val="nil"/>
            </w:tcBorders>
            <w:shd w:val="clear" w:color="auto" w:fill="auto"/>
            <w:vAlign w:val="center"/>
          </w:tcPr>
          <w:p>
            <w:pPr>
              <w:snapToGrid w:val="0"/>
              <w:spacing w:line="240" w:lineRule="auto"/>
              <w:jc w:val="center"/>
              <w:rPr>
                <w:rFonts w:ascii="宋体" w:hAnsi="宋体"/>
                <w:kern w:val="0"/>
              </w:rPr>
            </w:pPr>
            <w:r>
              <w:rPr>
                <w:rFonts w:ascii="宋体" w:hAnsi="宋体"/>
                <w:kern w:val="0"/>
              </w:rPr>
              <w:t>献血者</w:t>
            </w:r>
            <w:r>
              <w:rPr>
                <w:rFonts w:hint="eastAsia" w:ascii="宋体" w:hAnsi="宋体"/>
                <w:kern w:val="0"/>
              </w:rPr>
              <w:t>5</w:t>
            </w:r>
          </w:p>
        </w:tc>
        <w:tc>
          <w:tcPr>
            <w:tcW w:w="2268" w:type="dxa"/>
            <w:tcBorders>
              <w:top w:val="nil"/>
              <w:left w:val="nil"/>
              <w:bottom w:val="nil"/>
              <w:right w:val="nil"/>
            </w:tcBorders>
            <w:shd w:val="clear" w:color="auto" w:fill="auto"/>
            <w:vAlign w:val="center"/>
          </w:tcPr>
          <w:p>
            <w:pPr>
              <w:spacing w:line="240" w:lineRule="auto"/>
              <w:jc w:val="center"/>
              <w:rPr>
                <w:rFonts w:ascii="宋体" w:hAnsi="宋体"/>
              </w:rPr>
            </w:pPr>
            <w:r>
              <w:rPr>
                <w:rFonts w:hint="eastAsia" w:ascii="宋体" w:hAnsi="宋体"/>
              </w:rPr>
              <w:t>A1,31；B7,38</w:t>
            </w:r>
          </w:p>
        </w:tc>
        <w:tc>
          <w:tcPr>
            <w:tcW w:w="3544" w:type="dxa"/>
            <w:tcBorders>
              <w:top w:val="nil"/>
              <w:left w:val="nil"/>
              <w:bottom w:val="nil"/>
              <w:right w:val="nil"/>
            </w:tcBorders>
            <w:shd w:val="clear" w:color="auto" w:fill="auto"/>
            <w:vAlign w:val="center"/>
          </w:tcPr>
          <w:p>
            <w:pPr>
              <w:spacing w:line="240" w:lineRule="auto"/>
              <w:jc w:val="center"/>
              <w:rPr>
                <w:rFonts w:ascii="宋体" w:hAnsi="宋体"/>
              </w:rPr>
            </w:pPr>
            <w:r>
              <w:rPr>
                <w:rFonts w:hint="eastAsia" w:ascii="宋体" w:hAnsi="宋体"/>
              </w:rPr>
              <w:t>1个抗原错配</w:t>
            </w:r>
          </w:p>
        </w:tc>
        <w:tc>
          <w:tcPr>
            <w:tcW w:w="1449" w:type="dxa"/>
            <w:tcBorders>
              <w:top w:val="nil"/>
              <w:left w:val="nil"/>
              <w:bottom w:val="nil"/>
              <w:right w:val="nil"/>
            </w:tcBorders>
            <w:shd w:val="clear" w:color="auto" w:fill="auto"/>
            <w:vAlign w:val="center"/>
          </w:tcPr>
          <w:p>
            <w:pPr>
              <w:spacing w:line="240" w:lineRule="auto"/>
              <w:jc w:val="center"/>
              <w:rPr>
                <w:rFonts w:ascii="宋体" w:hAnsi="宋体"/>
              </w:rPr>
            </w:pPr>
            <w:r>
              <w:rPr>
                <w:rFonts w:hint="eastAsia" w:ascii="宋体" w:hAnsi="宋体"/>
              </w:rPr>
              <w:t>C</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591" w:hRule="atLeast"/>
          <w:jc w:val="center"/>
        </w:trPr>
        <w:tc>
          <w:tcPr>
            <w:tcW w:w="1320" w:type="dxa"/>
            <w:tcBorders>
              <w:top w:val="nil"/>
              <w:left w:val="nil"/>
              <w:bottom w:val="nil"/>
              <w:right w:val="nil"/>
            </w:tcBorders>
            <w:shd w:val="clear" w:color="auto" w:fill="auto"/>
            <w:vAlign w:val="center"/>
          </w:tcPr>
          <w:p>
            <w:pPr>
              <w:snapToGrid w:val="0"/>
              <w:spacing w:line="240" w:lineRule="auto"/>
              <w:jc w:val="center"/>
              <w:rPr>
                <w:rFonts w:ascii="宋体" w:hAnsi="宋体"/>
                <w:kern w:val="0"/>
              </w:rPr>
            </w:pPr>
            <w:r>
              <w:rPr>
                <w:rFonts w:ascii="宋体" w:hAnsi="宋体"/>
                <w:kern w:val="0"/>
              </w:rPr>
              <w:t>献血者</w:t>
            </w:r>
            <w:r>
              <w:rPr>
                <w:rFonts w:hint="eastAsia" w:ascii="宋体" w:hAnsi="宋体"/>
                <w:kern w:val="0"/>
              </w:rPr>
              <w:t>6</w:t>
            </w:r>
          </w:p>
        </w:tc>
        <w:tc>
          <w:tcPr>
            <w:tcW w:w="2268" w:type="dxa"/>
            <w:tcBorders>
              <w:top w:val="nil"/>
              <w:left w:val="nil"/>
              <w:bottom w:val="nil"/>
              <w:right w:val="nil"/>
            </w:tcBorders>
            <w:shd w:val="clear" w:color="auto" w:fill="auto"/>
            <w:vAlign w:val="center"/>
          </w:tcPr>
          <w:p>
            <w:pPr>
              <w:spacing w:line="240" w:lineRule="auto"/>
              <w:jc w:val="center"/>
              <w:rPr>
                <w:rFonts w:ascii="宋体" w:hAnsi="宋体"/>
              </w:rPr>
            </w:pPr>
            <w:r>
              <w:rPr>
                <w:rFonts w:hint="eastAsia" w:ascii="宋体" w:hAnsi="宋体"/>
              </w:rPr>
              <w:t>A2,31；B7,38</w:t>
            </w:r>
          </w:p>
        </w:tc>
        <w:tc>
          <w:tcPr>
            <w:tcW w:w="3544" w:type="dxa"/>
            <w:tcBorders>
              <w:top w:val="nil"/>
              <w:left w:val="nil"/>
              <w:bottom w:val="nil"/>
              <w:right w:val="nil"/>
            </w:tcBorders>
            <w:shd w:val="clear" w:color="auto" w:fill="auto"/>
            <w:vAlign w:val="center"/>
          </w:tcPr>
          <w:p>
            <w:pPr>
              <w:spacing w:line="240" w:lineRule="auto"/>
              <w:jc w:val="center"/>
              <w:rPr>
                <w:rFonts w:ascii="宋体" w:hAnsi="宋体"/>
              </w:rPr>
            </w:pPr>
            <w:r>
              <w:rPr>
                <w:rFonts w:hint="eastAsia" w:ascii="宋体" w:hAnsi="宋体"/>
              </w:rPr>
              <w:t>2个抗原错配</w:t>
            </w:r>
          </w:p>
        </w:tc>
        <w:tc>
          <w:tcPr>
            <w:tcW w:w="1449" w:type="dxa"/>
            <w:tcBorders>
              <w:top w:val="nil"/>
              <w:left w:val="nil"/>
              <w:bottom w:val="nil"/>
              <w:right w:val="nil"/>
            </w:tcBorders>
            <w:shd w:val="clear" w:color="auto" w:fill="auto"/>
            <w:vAlign w:val="center"/>
          </w:tcPr>
          <w:p>
            <w:pPr>
              <w:spacing w:line="240" w:lineRule="auto"/>
              <w:jc w:val="center"/>
              <w:rPr>
                <w:rFonts w:ascii="宋体" w:hAnsi="宋体"/>
              </w:rPr>
            </w:pPr>
            <w:r>
              <w:rPr>
                <w:rFonts w:hint="eastAsia" w:ascii="宋体" w:hAnsi="宋体"/>
              </w:rPr>
              <w:t>D</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Ex>
        <w:trPr>
          <w:trHeight w:val="629" w:hRule="atLeast"/>
          <w:jc w:val="center"/>
        </w:trPr>
        <w:tc>
          <w:tcPr>
            <w:tcW w:w="1320" w:type="dxa"/>
            <w:tcBorders>
              <w:top w:val="nil"/>
              <w:left w:val="nil"/>
              <w:bottom w:val="single" w:color="auto" w:sz="8" w:space="0"/>
              <w:right w:val="nil"/>
            </w:tcBorders>
            <w:shd w:val="clear" w:color="auto" w:fill="auto"/>
            <w:vAlign w:val="center"/>
          </w:tcPr>
          <w:p>
            <w:pPr>
              <w:snapToGrid w:val="0"/>
              <w:spacing w:line="240" w:lineRule="auto"/>
              <w:jc w:val="center"/>
              <w:rPr>
                <w:rFonts w:ascii="宋体" w:hAnsi="宋体"/>
                <w:kern w:val="0"/>
              </w:rPr>
            </w:pPr>
            <w:r>
              <w:rPr>
                <w:rFonts w:ascii="宋体" w:hAnsi="宋体"/>
                <w:kern w:val="0"/>
              </w:rPr>
              <w:t>献血者</w:t>
            </w:r>
            <w:r>
              <w:rPr>
                <w:rFonts w:hint="eastAsia" w:ascii="宋体" w:hAnsi="宋体"/>
                <w:kern w:val="0"/>
              </w:rPr>
              <w:t>7</w:t>
            </w:r>
          </w:p>
        </w:tc>
        <w:tc>
          <w:tcPr>
            <w:tcW w:w="2268" w:type="dxa"/>
            <w:tcBorders>
              <w:top w:val="nil"/>
              <w:left w:val="nil"/>
              <w:bottom w:val="single" w:color="auto" w:sz="8" w:space="0"/>
              <w:right w:val="nil"/>
            </w:tcBorders>
            <w:shd w:val="clear" w:color="auto" w:fill="auto"/>
            <w:vAlign w:val="center"/>
          </w:tcPr>
          <w:p>
            <w:pPr>
              <w:spacing w:line="240" w:lineRule="auto"/>
              <w:jc w:val="center"/>
              <w:rPr>
                <w:rFonts w:ascii="宋体" w:hAnsi="宋体"/>
              </w:rPr>
            </w:pPr>
            <w:r>
              <w:rPr>
                <w:rFonts w:hint="eastAsia" w:ascii="宋体" w:hAnsi="宋体"/>
              </w:rPr>
              <w:t>A2,26；B8,39</w:t>
            </w:r>
          </w:p>
        </w:tc>
        <w:tc>
          <w:tcPr>
            <w:tcW w:w="3544" w:type="dxa"/>
            <w:tcBorders>
              <w:top w:val="nil"/>
              <w:left w:val="nil"/>
              <w:bottom w:val="single" w:color="auto" w:sz="8" w:space="0"/>
              <w:right w:val="nil"/>
            </w:tcBorders>
            <w:shd w:val="clear" w:color="auto" w:fill="auto"/>
            <w:vAlign w:val="center"/>
          </w:tcPr>
          <w:p>
            <w:pPr>
              <w:spacing w:line="240" w:lineRule="auto"/>
              <w:jc w:val="center"/>
              <w:rPr>
                <w:rFonts w:ascii="宋体" w:hAnsi="宋体"/>
              </w:rPr>
            </w:pPr>
            <w:r>
              <w:rPr>
                <w:rFonts w:hint="eastAsia" w:ascii="宋体" w:hAnsi="宋体"/>
              </w:rPr>
              <w:t>随机</w:t>
            </w:r>
          </w:p>
        </w:tc>
        <w:tc>
          <w:tcPr>
            <w:tcW w:w="1449" w:type="dxa"/>
            <w:tcBorders>
              <w:top w:val="nil"/>
              <w:left w:val="nil"/>
              <w:bottom w:val="single" w:color="auto" w:sz="8" w:space="0"/>
              <w:right w:val="nil"/>
            </w:tcBorders>
            <w:shd w:val="clear" w:color="auto" w:fill="auto"/>
            <w:vAlign w:val="center"/>
          </w:tcPr>
          <w:p>
            <w:pPr>
              <w:spacing w:line="240" w:lineRule="auto"/>
              <w:jc w:val="center"/>
              <w:rPr>
                <w:rFonts w:ascii="宋体" w:hAnsi="宋体"/>
              </w:rPr>
            </w:pPr>
            <w:r>
              <w:rPr>
                <w:rFonts w:hint="eastAsia" w:ascii="宋体" w:hAnsi="宋体"/>
              </w:rPr>
              <w:t>R</w:t>
            </w:r>
          </w:p>
        </w:tc>
      </w:tr>
    </w:tbl>
    <w:p>
      <w:pPr>
        <w:pStyle w:val="57"/>
        <w:ind w:firstLine="420"/>
      </w:pPr>
    </w:p>
    <w:bookmarkEnd w:id="116"/>
    <w:p>
      <w:pPr>
        <w:pStyle w:val="57"/>
        <w:ind w:firstLine="0" w:firstLineChars="0"/>
        <w:sectPr>
          <w:headerReference r:id="rId23" w:type="default"/>
          <w:footerReference r:id="rId25" w:type="default"/>
          <w:headerReference r:id="rId24" w:type="even"/>
          <w:footerReference r:id="rId26" w:type="even"/>
          <w:pgSz w:w="11906" w:h="16838"/>
          <w:pgMar w:top="567" w:right="1134" w:bottom="1134" w:left="1134" w:header="1418" w:footer="1134" w:gutter="284"/>
          <w:cols w:space="425" w:num="1"/>
          <w:formProt w:val="0"/>
          <w:docGrid w:linePitch="312" w:charSpace="0"/>
        </w:sectPr>
      </w:pPr>
    </w:p>
    <w:p>
      <w:pPr>
        <w:pStyle w:val="64"/>
        <w:spacing w:before="96" w:after="120"/>
      </w:pPr>
      <w:bookmarkStart w:id="119" w:name="_Toc63668861"/>
      <w:bookmarkStart w:id="120" w:name="_Toc63768659"/>
      <w:bookmarkStart w:id="121" w:name="_Toc63668182"/>
      <w:bookmarkStart w:id="122" w:name="_Toc63769333"/>
      <w:bookmarkStart w:id="123" w:name="_Toc63667986"/>
      <w:bookmarkStart w:id="124" w:name="_Toc63668756"/>
      <w:bookmarkStart w:id="125" w:name="_Toc63768551"/>
      <w:bookmarkStart w:id="126" w:name="_Toc63668872"/>
      <w:bookmarkStart w:id="127" w:name="_Toc63670587"/>
      <w:bookmarkStart w:id="128" w:name="_Toc63768478"/>
      <w:r>
        <w:rPr>
          <w:rFonts w:hint="eastAsia"/>
          <w:spacing w:val="105"/>
        </w:rPr>
        <w:t>参考文</w:t>
      </w:r>
      <w:r>
        <w:rPr>
          <w:rFonts w:hint="eastAsia"/>
        </w:rPr>
        <w:t>献</w:t>
      </w:r>
      <w:bookmarkEnd w:id="119"/>
      <w:bookmarkEnd w:id="120"/>
      <w:bookmarkEnd w:id="121"/>
      <w:bookmarkEnd w:id="122"/>
      <w:bookmarkEnd w:id="123"/>
      <w:bookmarkEnd w:id="124"/>
      <w:bookmarkEnd w:id="125"/>
      <w:bookmarkEnd w:id="126"/>
      <w:bookmarkEnd w:id="127"/>
      <w:bookmarkEnd w:id="128"/>
    </w:p>
    <w:p>
      <w:pPr>
        <w:pStyle w:val="57"/>
        <w:ind w:firstLine="420"/>
      </w:pPr>
    </w:p>
    <w:p>
      <w:pPr>
        <w:pStyle w:val="57"/>
        <w:ind w:firstLine="420"/>
      </w:pPr>
    </w:p>
    <w:p>
      <w:pPr>
        <w:pStyle w:val="110"/>
        <w:numPr>
          <w:ilvl w:val="0"/>
          <w:numId w:val="32"/>
        </w:numPr>
        <w:tabs>
          <w:tab w:val="left" w:pos="426"/>
          <w:tab w:val="clear" w:pos="851"/>
          <w:tab w:val="clear" w:pos="1276"/>
        </w:tabs>
        <w:ind w:left="0" w:firstLine="0"/>
      </w:pPr>
      <w:r>
        <w:rPr>
          <w:rFonts w:hint="eastAsia"/>
        </w:rPr>
        <w:t>WS/T622 内科输血</w:t>
      </w:r>
    </w:p>
    <w:p>
      <w:pPr>
        <w:pStyle w:val="110"/>
        <w:numPr>
          <w:ilvl w:val="0"/>
          <w:numId w:val="32"/>
        </w:numPr>
        <w:tabs>
          <w:tab w:val="left" w:pos="426"/>
          <w:tab w:val="clear" w:pos="851"/>
          <w:tab w:val="clear" w:pos="1276"/>
        </w:tabs>
        <w:ind w:left="0" w:firstLine="0"/>
      </w:pPr>
      <w:r>
        <w:rPr>
          <w:rFonts w:hint="eastAsia"/>
        </w:rPr>
        <w:t>WS/T623 全血和成分血使用</w:t>
      </w:r>
    </w:p>
    <w:p>
      <w:pPr>
        <w:pStyle w:val="110"/>
        <w:numPr>
          <w:ilvl w:val="0"/>
          <w:numId w:val="32"/>
        </w:numPr>
        <w:tabs>
          <w:tab w:val="left" w:pos="426"/>
          <w:tab w:val="clear" w:pos="851"/>
          <w:tab w:val="clear" w:pos="1276"/>
        </w:tabs>
        <w:ind w:left="0" w:firstLine="0"/>
        <w:rPr>
          <w:szCs w:val="22"/>
        </w:rPr>
      </w:pPr>
      <w:r>
        <w:rPr>
          <w:szCs w:val="22"/>
        </w:rPr>
        <w:t>Standards for Molecular Testing for Red Cell,</w:t>
      </w:r>
      <w:r>
        <w:rPr>
          <w:rFonts w:hint="eastAsia"/>
          <w:szCs w:val="22"/>
        </w:rPr>
        <w:t xml:space="preserve"> </w:t>
      </w:r>
      <w:r>
        <w:rPr>
          <w:szCs w:val="22"/>
        </w:rPr>
        <w:t>Platelet,</w:t>
      </w:r>
      <w:r>
        <w:rPr>
          <w:rFonts w:hint="eastAsia"/>
          <w:szCs w:val="22"/>
        </w:rPr>
        <w:t xml:space="preserve"> </w:t>
      </w:r>
      <w:r>
        <w:rPr>
          <w:szCs w:val="22"/>
        </w:rPr>
        <w:t>and Neutrophil Antigens,</w:t>
      </w:r>
      <w:r>
        <w:rPr>
          <w:rFonts w:hint="eastAsia"/>
          <w:szCs w:val="22"/>
        </w:rPr>
        <w:t xml:space="preserve"> 7</w:t>
      </w:r>
      <w:r>
        <w:rPr>
          <w:szCs w:val="22"/>
        </w:rPr>
        <w:t>th edition. USA</w:t>
      </w:r>
      <w:r>
        <w:rPr>
          <w:rFonts w:hint="eastAsia"/>
          <w:szCs w:val="22"/>
        </w:rPr>
        <w:t xml:space="preserve">: AABB, </w:t>
      </w:r>
      <w:r>
        <w:rPr>
          <w:szCs w:val="22"/>
        </w:rPr>
        <w:t>January</w:t>
      </w:r>
      <w:r>
        <w:rPr>
          <w:rFonts w:hint="eastAsia"/>
          <w:szCs w:val="22"/>
        </w:rPr>
        <w:t xml:space="preserve"> 2025</w:t>
      </w:r>
    </w:p>
    <w:p>
      <w:pPr>
        <w:pStyle w:val="110"/>
        <w:numPr>
          <w:ilvl w:val="0"/>
          <w:numId w:val="32"/>
        </w:numPr>
        <w:tabs>
          <w:tab w:val="left" w:pos="426"/>
          <w:tab w:val="clear" w:pos="851"/>
          <w:tab w:val="clear" w:pos="1276"/>
        </w:tabs>
        <w:ind w:left="0" w:firstLine="0"/>
        <w:rPr>
          <w:szCs w:val="22"/>
        </w:rPr>
      </w:pPr>
      <w:r>
        <w:rPr>
          <w:rFonts w:hint="eastAsia"/>
          <w:szCs w:val="22"/>
        </w:rPr>
        <w:t>Standards for Blood Banks and Transfusion Services, 34nd edition. USA: AABB, April 2024</w:t>
      </w:r>
    </w:p>
    <w:p>
      <w:pPr>
        <w:pStyle w:val="110"/>
        <w:numPr>
          <w:ilvl w:val="0"/>
          <w:numId w:val="32"/>
        </w:numPr>
        <w:tabs>
          <w:tab w:val="left" w:pos="426"/>
          <w:tab w:val="clear" w:pos="851"/>
          <w:tab w:val="clear" w:pos="1276"/>
        </w:tabs>
        <w:ind w:left="0" w:firstLine="0"/>
        <w:rPr>
          <w:szCs w:val="22"/>
        </w:rPr>
      </w:pPr>
      <w:r>
        <w:rPr>
          <w:rFonts w:hint="eastAsia"/>
          <w:szCs w:val="22"/>
        </w:rPr>
        <w:t xml:space="preserve"> 血站管理办法  卫生部令第44号</w:t>
      </w:r>
    </w:p>
    <w:p>
      <w:pPr>
        <w:pStyle w:val="110"/>
        <w:numPr>
          <w:ilvl w:val="0"/>
          <w:numId w:val="32"/>
        </w:numPr>
        <w:tabs>
          <w:tab w:val="left" w:pos="426"/>
          <w:tab w:val="clear" w:pos="851"/>
          <w:tab w:val="clear" w:pos="1276"/>
        </w:tabs>
        <w:ind w:left="0" w:firstLine="0"/>
        <w:rPr>
          <w:szCs w:val="22"/>
        </w:rPr>
      </w:pPr>
      <w:r>
        <w:rPr>
          <w:rFonts w:hint="eastAsia"/>
          <w:szCs w:val="22"/>
        </w:rPr>
        <w:t xml:space="preserve"> 血站技术操作规程 国卫医函[2019]98号</w:t>
      </w:r>
    </w:p>
    <w:p>
      <w:pPr>
        <w:pStyle w:val="110"/>
        <w:numPr>
          <w:ilvl w:val="0"/>
          <w:numId w:val="32"/>
        </w:numPr>
        <w:tabs>
          <w:tab w:val="left" w:pos="426"/>
          <w:tab w:val="clear" w:pos="851"/>
          <w:tab w:val="clear" w:pos="1276"/>
        </w:tabs>
        <w:ind w:left="0" w:firstLine="0"/>
        <w:rPr>
          <w:szCs w:val="22"/>
        </w:rPr>
      </w:pPr>
      <w:r>
        <w:rPr>
          <w:rFonts w:hint="eastAsia"/>
          <w:szCs w:val="22"/>
        </w:rPr>
        <w:t>朱发明,毛伟,张志欣.血小板配合性输注的分析和展望.中国输血杂志,2022,35(11):1097-1100</w:t>
      </w:r>
    </w:p>
    <w:p>
      <w:pPr>
        <w:pStyle w:val="110"/>
        <w:numPr>
          <w:ilvl w:val="0"/>
          <w:numId w:val="32"/>
        </w:numPr>
        <w:tabs>
          <w:tab w:val="left" w:pos="426"/>
          <w:tab w:val="clear" w:pos="851"/>
          <w:tab w:val="clear" w:pos="1276"/>
        </w:tabs>
        <w:ind w:left="0" w:firstLine="0"/>
        <w:rPr>
          <w:szCs w:val="22"/>
        </w:rPr>
      </w:pPr>
      <w:r>
        <w:rPr>
          <w:rFonts w:hint="eastAsia"/>
          <w:szCs w:val="22"/>
        </w:rPr>
        <w:t>何吉.血小板配型及相容性输注的专家共识.浙江医学,2021,43(13):1367-1371</w:t>
      </w:r>
    </w:p>
    <w:p>
      <w:pPr>
        <w:pStyle w:val="110"/>
        <w:numPr>
          <w:ilvl w:val="0"/>
          <w:numId w:val="32"/>
        </w:numPr>
        <w:tabs>
          <w:tab w:val="left" w:pos="426"/>
          <w:tab w:val="clear" w:pos="851"/>
          <w:tab w:val="clear" w:pos="1276"/>
        </w:tabs>
        <w:ind w:left="0" w:firstLine="0"/>
        <w:rPr>
          <w:szCs w:val="22"/>
        </w:rPr>
      </w:pPr>
      <w:r>
        <w:rPr>
          <w:rFonts w:hint="eastAsia"/>
          <w:szCs w:val="22"/>
        </w:rPr>
        <w:t>吕蓉,朱发明,叶欣,等.免疫性血小板输注无效的判定及临床实践专家共识.临床输血与检验,2022,24(03):273-278</w:t>
      </w:r>
    </w:p>
    <w:p>
      <w:pPr>
        <w:pStyle w:val="110"/>
        <w:numPr>
          <w:ilvl w:val="0"/>
          <w:numId w:val="32"/>
        </w:numPr>
        <w:tabs>
          <w:tab w:val="left" w:pos="426"/>
          <w:tab w:val="clear" w:pos="851"/>
          <w:tab w:val="clear" w:pos="1276"/>
        </w:tabs>
        <w:ind w:left="0" w:firstLine="0"/>
        <w:rPr>
          <w:szCs w:val="22"/>
        </w:rPr>
      </w:pPr>
      <w:r>
        <w:rPr>
          <w:rFonts w:hint="eastAsia"/>
          <w:szCs w:val="22"/>
        </w:rPr>
        <w:t xml:space="preserve">中华医学会血液学分会.血小板无效输注诊断和治疗中国专家共识（2022年版）. 中华血液学杂志,2022,43(11):897-902 </w:t>
      </w:r>
    </w:p>
    <w:bookmarkEnd w:id="115"/>
    <w:p>
      <w:pPr>
        <w:pStyle w:val="57"/>
        <w:ind w:firstLine="0" w:firstLineChars="0"/>
        <w:jc w:val="center"/>
      </w:pPr>
      <w:bookmarkStart w:id="129" w:name="BookMark8"/>
      <w:r>
        <w:drawing>
          <wp:inline distT="0" distB="0" distL="0" distR="0">
            <wp:extent cx="1485900" cy="317500"/>
            <wp:effectExtent l="0" t="0" r="0" b="6350"/>
            <wp:docPr id="8" name="图片 8"/>
            <wp:cNvGraphicFramePr/>
            <a:graphic xmlns:a="http://schemas.openxmlformats.org/drawingml/2006/main">
              <a:graphicData uri="http://schemas.openxmlformats.org/drawingml/2006/picture">
                <pic:pic xmlns:pic="http://schemas.openxmlformats.org/drawingml/2006/picture">
                  <pic:nvPicPr>
                    <pic:cNvPr id="8" name="图片 8"/>
                    <pic:cNvPicPr/>
                  </pic:nvPicPr>
                  <pic:blipFill>
                    <a:blip r:embed="rId36" cstate="print"/>
                    <a:stretch>
                      <a:fillRect/>
                    </a:stretch>
                  </pic:blipFill>
                  <pic:spPr>
                    <a:xfrm>
                      <a:off x="0" y="0"/>
                      <a:ext cx="1485900" cy="317500"/>
                    </a:xfrm>
                    <a:prstGeom prst="rect">
                      <a:avLst/>
                    </a:prstGeom>
                  </pic:spPr>
                </pic:pic>
              </a:graphicData>
            </a:graphic>
          </wp:inline>
        </w:drawing>
      </w:r>
      <w:bookmarkEnd w:id="129"/>
    </w:p>
    <w:sectPr>
      <w:headerReference r:id="rId27" w:type="default"/>
      <w:footerReference r:id="rId29" w:type="default"/>
      <w:headerReference r:id="rId28" w:type="even"/>
      <w:footerReference r:id="rId30" w:type="even"/>
      <w:pgSz w:w="11906" w:h="16838"/>
      <w:pgMar w:top="567" w:right="1134" w:bottom="1134" w:left="1134" w:header="1418" w:footer="1134" w:gutter="284"/>
      <w:cols w:space="425" w:num="1"/>
      <w:formProt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 PAGE   \* MERGEFORMAT \* MERGEFORMAT </w:instrText>
    </w:r>
    <w:r>
      <w:fldChar w:fldCharType="separate"/>
    </w:r>
    <w:r>
      <w:t>2</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1</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 PAGE   \* MERGEFORMAT \* MERGEFORMAT </w:instrText>
    </w:r>
    <w:r>
      <w:fldChar w:fldCharType="separate"/>
    </w:r>
    <w:r>
      <w:t>6</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7</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 PAGE   \* MERGEFORMAT \* MERGEFORMAT </w:instrText>
    </w:r>
    <w:r>
      <w:fldChar w:fldCharType="separate"/>
    </w:r>
    <w: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1</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 PAGE   \* MERGEFORMAT \* MERGEFORMAT </w:instrText>
    </w:r>
    <w:r>
      <w:fldChar w:fldCharType="separate"/>
    </w:r>
    <w: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3</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 PAGE   \* MERGEFORMAT \* MERGEFORMAT </w:instrText>
    </w:r>
    <w:r>
      <w:fldChar w:fldCharType="separate"/>
    </w:r>
    <w:r>
      <w:t>4</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5</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T/CSBT 010—2021</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T/CSBT 010—2021</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T/CSBT 010—2025</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T/CSBT 010—2025</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T/CSBT 010—2021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T/CSBT 010—2025</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T/CSBT 010—2021</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T/CSBT 010—2021</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T/CSBT 010—2025</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T/CSBT 010—2025</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T/CSBT 010—2025</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T/CSBT 010—2025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0F056009"/>
    <w:multiLevelType w:val="multilevel"/>
    <w:tmpl w:val="0F056009"/>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0" w:firstLine="0"/>
      </w:pPr>
      <w:rPr>
        <w:rFonts w:hint="eastAsia"/>
        <w:color w:val="000000" w:themeColor="text1"/>
        <w:spacing w:val="100"/>
        <w14:textFill>
          <w14:solidFill>
            <w14:schemeClr w14:val="tx1"/>
          </w14:solidFill>
        </w14:textFill>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9"/>
  </w:num>
  <w:num w:numId="8">
    <w:abstractNumId w:val="3"/>
  </w:num>
  <w:num w:numId="9">
    <w:abstractNumId w:val="10"/>
  </w:num>
  <w:num w:numId="10">
    <w:abstractNumId w:val="17"/>
  </w:num>
  <w:num w:numId="11">
    <w:abstractNumId w:val="26"/>
  </w:num>
  <w:num w:numId="12">
    <w:abstractNumId w:val="12"/>
  </w:num>
  <w:num w:numId="13">
    <w:abstractNumId w:val="8"/>
  </w:num>
  <w:num w:numId="14">
    <w:abstractNumId w:val="20"/>
  </w:num>
  <w:num w:numId="15">
    <w:abstractNumId w:val="22"/>
  </w:num>
  <w:num w:numId="16">
    <w:abstractNumId w:val="18"/>
  </w:num>
  <w:num w:numId="17">
    <w:abstractNumId w:val="30"/>
  </w:num>
  <w:num w:numId="18">
    <w:abstractNumId w:val="16"/>
  </w:num>
  <w:num w:numId="19">
    <w:abstractNumId w:val="13"/>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DtGEsdHknepixB6kE0fQVWH5eA5IGhMei7eYL8FDNy3gTGZ8b56BvUg4oIh4vl0RaEBHhJ+7ceJIY6yaJKFTMA==" w:salt="vf2KgYvmo14SU5W5xR47kw=="/>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EED"/>
    <w:rsid w:val="0000040A"/>
    <w:rsid w:val="00000A94"/>
    <w:rsid w:val="00001972"/>
    <w:rsid w:val="00001D9A"/>
    <w:rsid w:val="000036D8"/>
    <w:rsid w:val="00003E92"/>
    <w:rsid w:val="00007B3A"/>
    <w:rsid w:val="000107E0"/>
    <w:rsid w:val="00011FDE"/>
    <w:rsid w:val="000129AF"/>
    <w:rsid w:val="00012FFD"/>
    <w:rsid w:val="00013B46"/>
    <w:rsid w:val="00014162"/>
    <w:rsid w:val="00014340"/>
    <w:rsid w:val="00016A9C"/>
    <w:rsid w:val="00016CBD"/>
    <w:rsid w:val="0002119A"/>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303D"/>
    <w:rsid w:val="000A7311"/>
    <w:rsid w:val="000B060F"/>
    <w:rsid w:val="000B1592"/>
    <w:rsid w:val="000B1FF2"/>
    <w:rsid w:val="000B3CDA"/>
    <w:rsid w:val="000B6A0B"/>
    <w:rsid w:val="000C0F6C"/>
    <w:rsid w:val="000C11DB"/>
    <w:rsid w:val="000C1492"/>
    <w:rsid w:val="000C2FBD"/>
    <w:rsid w:val="000C4B41"/>
    <w:rsid w:val="000C57D6"/>
    <w:rsid w:val="000C6362"/>
    <w:rsid w:val="000C6D8D"/>
    <w:rsid w:val="000C7666"/>
    <w:rsid w:val="000D0A9C"/>
    <w:rsid w:val="000D0F44"/>
    <w:rsid w:val="000D1795"/>
    <w:rsid w:val="000D329A"/>
    <w:rsid w:val="000D4B9C"/>
    <w:rsid w:val="000D4EB6"/>
    <w:rsid w:val="000D753B"/>
    <w:rsid w:val="000E4C9E"/>
    <w:rsid w:val="000E6FD7"/>
    <w:rsid w:val="000F06E1"/>
    <w:rsid w:val="000F0E3C"/>
    <w:rsid w:val="000F19D5"/>
    <w:rsid w:val="000F4050"/>
    <w:rsid w:val="000F4AEA"/>
    <w:rsid w:val="000F67E9"/>
    <w:rsid w:val="00103B3E"/>
    <w:rsid w:val="00104926"/>
    <w:rsid w:val="00113B1E"/>
    <w:rsid w:val="0011711C"/>
    <w:rsid w:val="00124E4F"/>
    <w:rsid w:val="001260B7"/>
    <w:rsid w:val="001265CB"/>
    <w:rsid w:val="00131C68"/>
    <w:rsid w:val="001321C6"/>
    <w:rsid w:val="001325C4"/>
    <w:rsid w:val="00133010"/>
    <w:rsid w:val="001338EE"/>
    <w:rsid w:val="00133AAE"/>
    <w:rsid w:val="00135323"/>
    <w:rsid w:val="001356C4"/>
    <w:rsid w:val="00137565"/>
    <w:rsid w:val="00141114"/>
    <w:rsid w:val="00142969"/>
    <w:rsid w:val="001446C2"/>
    <w:rsid w:val="001457E7"/>
    <w:rsid w:val="0014589B"/>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2880"/>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358F"/>
    <w:rsid w:val="001D3F9B"/>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4C18"/>
    <w:rsid w:val="002359CB"/>
    <w:rsid w:val="00243540"/>
    <w:rsid w:val="0024497B"/>
    <w:rsid w:val="0024515B"/>
    <w:rsid w:val="00246021"/>
    <w:rsid w:val="0024666E"/>
    <w:rsid w:val="00247F52"/>
    <w:rsid w:val="00250B25"/>
    <w:rsid w:val="00250BBE"/>
    <w:rsid w:val="002515C2"/>
    <w:rsid w:val="0025194F"/>
    <w:rsid w:val="0026148A"/>
    <w:rsid w:val="00261744"/>
    <w:rsid w:val="00262696"/>
    <w:rsid w:val="00263D25"/>
    <w:rsid w:val="002643C3"/>
    <w:rsid w:val="00264A0C"/>
    <w:rsid w:val="00266EEB"/>
    <w:rsid w:val="00267EF4"/>
    <w:rsid w:val="00270CB8"/>
    <w:rsid w:val="0027212D"/>
    <w:rsid w:val="00272B08"/>
    <w:rsid w:val="00281BB8"/>
    <w:rsid w:val="00281E9E"/>
    <w:rsid w:val="00282405"/>
    <w:rsid w:val="00285170"/>
    <w:rsid w:val="00285361"/>
    <w:rsid w:val="00287129"/>
    <w:rsid w:val="0028725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3D3C"/>
    <w:rsid w:val="002B4508"/>
    <w:rsid w:val="002B4A7A"/>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4F0B"/>
    <w:rsid w:val="00306063"/>
    <w:rsid w:val="00310F49"/>
    <w:rsid w:val="00313B85"/>
    <w:rsid w:val="00317988"/>
    <w:rsid w:val="003221B4"/>
    <w:rsid w:val="0032258D"/>
    <w:rsid w:val="00322E62"/>
    <w:rsid w:val="00324D13"/>
    <w:rsid w:val="00324DB1"/>
    <w:rsid w:val="00324EDD"/>
    <w:rsid w:val="00325F9F"/>
    <w:rsid w:val="003331E4"/>
    <w:rsid w:val="00335D36"/>
    <w:rsid w:val="00336C64"/>
    <w:rsid w:val="00337162"/>
    <w:rsid w:val="0034194F"/>
    <w:rsid w:val="00344605"/>
    <w:rsid w:val="00345D99"/>
    <w:rsid w:val="003474AA"/>
    <w:rsid w:val="00350D1D"/>
    <w:rsid w:val="00352C83"/>
    <w:rsid w:val="00352F1A"/>
    <w:rsid w:val="00357B07"/>
    <w:rsid w:val="0036107C"/>
    <w:rsid w:val="003615D2"/>
    <w:rsid w:val="00363990"/>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A7460"/>
    <w:rsid w:val="003B0051"/>
    <w:rsid w:val="003B09AD"/>
    <w:rsid w:val="003B1F18"/>
    <w:rsid w:val="003B5BF0"/>
    <w:rsid w:val="003B60BF"/>
    <w:rsid w:val="003B6BE3"/>
    <w:rsid w:val="003B7013"/>
    <w:rsid w:val="003C010C"/>
    <w:rsid w:val="003C074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A54"/>
    <w:rsid w:val="003F3F08"/>
    <w:rsid w:val="003F49F1"/>
    <w:rsid w:val="003F6272"/>
    <w:rsid w:val="00400E72"/>
    <w:rsid w:val="00401400"/>
    <w:rsid w:val="00404869"/>
    <w:rsid w:val="00405884"/>
    <w:rsid w:val="00407D39"/>
    <w:rsid w:val="0041477A"/>
    <w:rsid w:val="004167A3"/>
    <w:rsid w:val="00426D15"/>
    <w:rsid w:val="00432DAA"/>
    <w:rsid w:val="00434305"/>
    <w:rsid w:val="00435DF7"/>
    <w:rsid w:val="0044083F"/>
    <w:rsid w:val="00441AE7"/>
    <w:rsid w:val="0044280C"/>
    <w:rsid w:val="00445574"/>
    <w:rsid w:val="004467FB"/>
    <w:rsid w:val="00451640"/>
    <w:rsid w:val="00452D6B"/>
    <w:rsid w:val="00454484"/>
    <w:rsid w:val="0045517B"/>
    <w:rsid w:val="00463B77"/>
    <w:rsid w:val="00463C7B"/>
    <w:rsid w:val="004644A6"/>
    <w:rsid w:val="004659BD"/>
    <w:rsid w:val="004703C4"/>
    <w:rsid w:val="00470775"/>
    <w:rsid w:val="004746B1"/>
    <w:rsid w:val="0047583F"/>
    <w:rsid w:val="00475DE8"/>
    <w:rsid w:val="00481C44"/>
    <w:rsid w:val="00483685"/>
    <w:rsid w:val="00484936"/>
    <w:rsid w:val="00485C89"/>
    <w:rsid w:val="00486BE3"/>
    <w:rsid w:val="004905E4"/>
    <w:rsid w:val="00490A89"/>
    <w:rsid w:val="00490AB4"/>
    <w:rsid w:val="00492F02"/>
    <w:rsid w:val="004939AE"/>
    <w:rsid w:val="004A12DF"/>
    <w:rsid w:val="004A1BA8"/>
    <w:rsid w:val="004A45BD"/>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0B0A"/>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5BC9"/>
    <w:rsid w:val="00516088"/>
    <w:rsid w:val="00516B0B"/>
    <w:rsid w:val="005220EC"/>
    <w:rsid w:val="00523F95"/>
    <w:rsid w:val="00524D65"/>
    <w:rsid w:val="00525B16"/>
    <w:rsid w:val="00532EED"/>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19AF"/>
    <w:rsid w:val="00571A8C"/>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383"/>
    <w:rsid w:val="005B7422"/>
    <w:rsid w:val="005C29B8"/>
    <w:rsid w:val="005C5F21"/>
    <w:rsid w:val="005C7156"/>
    <w:rsid w:val="005C7AD1"/>
    <w:rsid w:val="005D0C75"/>
    <w:rsid w:val="005D4171"/>
    <w:rsid w:val="005D6A95"/>
    <w:rsid w:val="005D6B2C"/>
    <w:rsid w:val="005D6D9C"/>
    <w:rsid w:val="005E2335"/>
    <w:rsid w:val="005E34CA"/>
    <w:rsid w:val="005E3C18"/>
    <w:rsid w:val="005E4250"/>
    <w:rsid w:val="005E6812"/>
    <w:rsid w:val="005E7881"/>
    <w:rsid w:val="005E78E0"/>
    <w:rsid w:val="005F0D9C"/>
    <w:rsid w:val="005F284E"/>
    <w:rsid w:val="005F5392"/>
    <w:rsid w:val="006015CE"/>
    <w:rsid w:val="00604784"/>
    <w:rsid w:val="00606419"/>
    <w:rsid w:val="00607D29"/>
    <w:rsid w:val="00612952"/>
    <w:rsid w:val="006145D5"/>
    <w:rsid w:val="00614CC1"/>
    <w:rsid w:val="00615A9D"/>
    <w:rsid w:val="00617387"/>
    <w:rsid w:val="006205D6"/>
    <w:rsid w:val="00623309"/>
    <w:rsid w:val="006252D8"/>
    <w:rsid w:val="006259BC"/>
    <w:rsid w:val="0062636B"/>
    <w:rsid w:val="00632182"/>
    <w:rsid w:val="00632AE0"/>
    <w:rsid w:val="00633C17"/>
    <w:rsid w:val="00634D9E"/>
    <w:rsid w:val="00636E3E"/>
    <w:rsid w:val="006379F7"/>
    <w:rsid w:val="00637E4D"/>
    <w:rsid w:val="00640620"/>
    <w:rsid w:val="00641A1F"/>
    <w:rsid w:val="00641AA2"/>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4385"/>
    <w:rsid w:val="006770F4"/>
    <w:rsid w:val="00677A84"/>
    <w:rsid w:val="0068026D"/>
    <w:rsid w:val="00680A27"/>
    <w:rsid w:val="006816A4"/>
    <w:rsid w:val="006819B8"/>
    <w:rsid w:val="006840A6"/>
    <w:rsid w:val="006850CD"/>
    <w:rsid w:val="00685AAB"/>
    <w:rsid w:val="00693BFE"/>
    <w:rsid w:val="006A07AA"/>
    <w:rsid w:val="006A25E5"/>
    <w:rsid w:val="006A2B46"/>
    <w:rsid w:val="006A336D"/>
    <w:rsid w:val="006A37B9"/>
    <w:rsid w:val="006B2672"/>
    <w:rsid w:val="006B54BF"/>
    <w:rsid w:val="006B5F44"/>
    <w:rsid w:val="006B5F90"/>
    <w:rsid w:val="006B62E4"/>
    <w:rsid w:val="006C11C2"/>
    <w:rsid w:val="006C1BBA"/>
    <w:rsid w:val="006C2079"/>
    <w:rsid w:val="006C5A62"/>
    <w:rsid w:val="006C5D68"/>
    <w:rsid w:val="006C6976"/>
    <w:rsid w:val="006C6DD0"/>
    <w:rsid w:val="006C7434"/>
    <w:rsid w:val="006D04EA"/>
    <w:rsid w:val="006D16C4"/>
    <w:rsid w:val="006D3E96"/>
    <w:rsid w:val="006D4515"/>
    <w:rsid w:val="006D4BB1"/>
    <w:rsid w:val="006D6593"/>
    <w:rsid w:val="006F03A8"/>
    <w:rsid w:val="006F0A79"/>
    <w:rsid w:val="006F248B"/>
    <w:rsid w:val="006F2ACA"/>
    <w:rsid w:val="006F2ADC"/>
    <w:rsid w:val="006F2BFE"/>
    <w:rsid w:val="006F31E9"/>
    <w:rsid w:val="006F6284"/>
    <w:rsid w:val="007002C5"/>
    <w:rsid w:val="00704387"/>
    <w:rsid w:val="00707669"/>
    <w:rsid w:val="00711CBA"/>
    <w:rsid w:val="00711FB5"/>
    <w:rsid w:val="00712A01"/>
    <w:rsid w:val="00714F58"/>
    <w:rsid w:val="00721DEB"/>
    <w:rsid w:val="007227AA"/>
    <w:rsid w:val="00722FBF"/>
    <w:rsid w:val="00722FC2"/>
    <w:rsid w:val="00723D94"/>
    <w:rsid w:val="00724E1B"/>
    <w:rsid w:val="00725949"/>
    <w:rsid w:val="00727FA2"/>
    <w:rsid w:val="007322D9"/>
    <w:rsid w:val="00732BC0"/>
    <w:rsid w:val="0073720F"/>
    <w:rsid w:val="00737796"/>
    <w:rsid w:val="0074165C"/>
    <w:rsid w:val="007425A3"/>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57643"/>
    <w:rsid w:val="007600E3"/>
    <w:rsid w:val="00765C43"/>
    <w:rsid w:val="00765EFB"/>
    <w:rsid w:val="007671CA"/>
    <w:rsid w:val="00767C61"/>
    <w:rsid w:val="0077008A"/>
    <w:rsid w:val="00773C1F"/>
    <w:rsid w:val="00774DA4"/>
    <w:rsid w:val="00776599"/>
    <w:rsid w:val="0078114B"/>
    <w:rsid w:val="00781DD2"/>
    <w:rsid w:val="00783ECF"/>
    <w:rsid w:val="0078413A"/>
    <w:rsid w:val="007934E5"/>
    <w:rsid w:val="007959E8"/>
    <w:rsid w:val="00795E9C"/>
    <w:rsid w:val="007961AE"/>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0A97"/>
    <w:rsid w:val="007C2D89"/>
    <w:rsid w:val="007C4593"/>
    <w:rsid w:val="007C5309"/>
    <w:rsid w:val="007C6069"/>
    <w:rsid w:val="007D06C4"/>
    <w:rsid w:val="007D1352"/>
    <w:rsid w:val="007D18C7"/>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141F"/>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374A1"/>
    <w:rsid w:val="00840617"/>
    <w:rsid w:val="00840F84"/>
    <w:rsid w:val="00842A47"/>
    <w:rsid w:val="00843C13"/>
    <w:rsid w:val="008454F8"/>
    <w:rsid w:val="0085173A"/>
    <w:rsid w:val="008603CE"/>
    <w:rsid w:val="008611C9"/>
    <w:rsid w:val="008620FC"/>
    <w:rsid w:val="0086223E"/>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2E35"/>
    <w:rsid w:val="008930CB"/>
    <w:rsid w:val="008938DC"/>
    <w:rsid w:val="00893FD1"/>
    <w:rsid w:val="00894836"/>
    <w:rsid w:val="00895172"/>
    <w:rsid w:val="00895680"/>
    <w:rsid w:val="00896DFF"/>
    <w:rsid w:val="0089762C"/>
    <w:rsid w:val="00897EA4"/>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3473"/>
    <w:rsid w:val="008D4452"/>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06D9"/>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47706"/>
    <w:rsid w:val="00953604"/>
    <w:rsid w:val="0095496B"/>
    <w:rsid w:val="00957CE3"/>
    <w:rsid w:val="00960F1E"/>
    <w:rsid w:val="009610DC"/>
    <w:rsid w:val="00961490"/>
    <w:rsid w:val="0096381A"/>
    <w:rsid w:val="00965E04"/>
    <w:rsid w:val="009674AD"/>
    <w:rsid w:val="00970CDC"/>
    <w:rsid w:val="00975727"/>
    <w:rsid w:val="00977010"/>
    <w:rsid w:val="00977D02"/>
    <w:rsid w:val="00977FF9"/>
    <w:rsid w:val="009809BB"/>
    <w:rsid w:val="0098364B"/>
    <w:rsid w:val="009862B7"/>
    <w:rsid w:val="00987310"/>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97B"/>
    <w:rsid w:val="00A02BAE"/>
    <w:rsid w:val="00A06A6B"/>
    <w:rsid w:val="00A07E47"/>
    <w:rsid w:val="00A129D0"/>
    <w:rsid w:val="00A12C33"/>
    <w:rsid w:val="00A138BA"/>
    <w:rsid w:val="00A1464C"/>
    <w:rsid w:val="00A14C8E"/>
    <w:rsid w:val="00A153D9"/>
    <w:rsid w:val="00A15F09"/>
    <w:rsid w:val="00A169B6"/>
    <w:rsid w:val="00A2271D"/>
    <w:rsid w:val="00A237D5"/>
    <w:rsid w:val="00A30EFC"/>
    <w:rsid w:val="00A31984"/>
    <w:rsid w:val="00A32D73"/>
    <w:rsid w:val="00A3367B"/>
    <w:rsid w:val="00A34587"/>
    <w:rsid w:val="00A349C5"/>
    <w:rsid w:val="00A3597D"/>
    <w:rsid w:val="00A36DD1"/>
    <w:rsid w:val="00A37D09"/>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130"/>
    <w:rsid w:val="00AA1E45"/>
    <w:rsid w:val="00AA2852"/>
    <w:rsid w:val="00AA4286"/>
    <w:rsid w:val="00AA456B"/>
    <w:rsid w:val="00AA57F5"/>
    <w:rsid w:val="00AA672E"/>
    <w:rsid w:val="00AA6EC9"/>
    <w:rsid w:val="00AB6309"/>
    <w:rsid w:val="00AB6C5F"/>
    <w:rsid w:val="00AB7129"/>
    <w:rsid w:val="00AC00ED"/>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6C32"/>
    <w:rsid w:val="00B07242"/>
    <w:rsid w:val="00B10534"/>
    <w:rsid w:val="00B113DB"/>
    <w:rsid w:val="00B11552"/>
    <w:rsid w:val="00B11D8A"/>
    <w:rsid w:val="00B12981"/>
    <w:rsid w:val="00B147DD"/>
    <w:rsid w:val="00B156FD"/>
    <w:rsid w:val="00B21F61"/>
    <w:rsid w:val="00B261F1"/>
    <w:rsid w:val="00B265BC"/>
    <w:rsid w:val="00B31FB1"/>
    <w:rsid w:val="00B33952"/>
    <w:rsid w:val="00B33C5E"/>
    <w:rsid w:val="00B342F4"/>
    <w:rsid w:val="00B34369"/>
    <w:rsid w:val="00B34DC2"/>
    <w:rsid w:val="00B36A6E"/>
    <w:rsid w:val="00B378E5"/>
    <w:rsid w:val="00B4346D"/>
    <w:rsid w:val="00B440F4"/>
    <w:rsid w:val="00B447A5"/>
    <w:rsid w:val="00B4654C"/>
    <w:rsid w:val="00B47293"/>
    <w:rsid w:val="00B50E50"/>
    <w:rsid w:val="00B52120"/>
    <w:rsid w:val="00B54ABC"/>
    <w:rsid w:val="00B55DE2"/>
    <w:rsid w:val="00B56FBE"/>
    <w:rsid w:val="00B60ACF"/>
    <w:rsid w:val="00B62B58"/>
    <w:rsid w:val="00B65149"/>
    <w:rsid w:val="00B661CD"/>
    <w:rsid w:val="00B66567"/>
    <w:rsid w:val="00B66F52"/>
    <w:rsid w:val="00B66FE5"/>
    <w:rsid w:val="00B67AB7"/>
    <w:rsid w:val="00B70392"/>
    <w:rsid w:val="00B72880"/>
    <w:rsid w:val="00B758BF"/>
    <w:rsid w:val="00B77EC8"/>
    <w:rsid w:val="00B82654"/>
    <w:rsid w:val="00B827A6"/>
    <w:rsid w:val="00B831CE"/>
    <w:rsid w:val="00B86677"/>
    <w:rsid w:val="00B87131"/>
    <w:rsid w:val="00B939B1"/>
    <w:rsid w:val="00B96D40"/>
    <w:rsid w:val="00B97386"/>
    <w:rsid w:val="00BA263B"/>
    <w:rsid w:val="00BA42B2"/>
    <w:rsid w:val="00BA58D4"/>
    <w:rsid w:val="00BA5B9E"/>
    <w:rsid w:val="00BA679B"/>
    <w:rsid w:val="00BA7C9A"/>
    <w:rsid w:val="00BB5F8F"/>
    <w:rsid w:val="00BB657A"/>
    <w:rsid w:val="00BC1A4E"/>
    <w:rsid w:val="00BC5DC7"/>
    <w:rsid w:val="00BC6B8B"/>
    <w:rsid w:val="00BC73D8"/>
    <w:rsid w:val="00BD52D7"/>
    <w:rsid w:val="00BD5AD2"/>
    <w:rsid w:val="00BE22F3"/>
    <w:rsid w:val="00BE34B0"/>
    <w:rsid w:val="00BE5B52"/>
    <w:rsid w:val="00BE7B8D"/>
    <w:rsid w:val="00BF0993"/>
    <w:rsid w:val="00BF10A9"/>
    <w:rsid w:val="00BF1703"/>
    <w:rsid w:val="00BF1853"/>
    <w:rsid w:val="00BF231C"/>
    <w:rsid w:val="00BF51E5"/>
    <w:rsid w:val="00BF5B91"/>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0989"/>
    <w:rsid w:val="00C42130"/>
    <w:rsid w:val="00C423A4"/>
    <w:rsid w:val="00C423E3"/>
    <w:rsid w:val="00C44BF5"/>
    <w:rsid w:val="00C520E5"/>
    <w:rsid w:val="00C521D6"/>
    <w:rsid w:val="00C53267"/>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7254"/>
    <w:rsid w:val="00CC038D"/>
    <w:rsid w:val="00CC08DB"/>
    <w:rsid w:val="00CC39FF"/>
    <w:rsid w:val="00CC3C2F"/>
    <w:rsid w:val="00CC4AC8"/>
    <w:rsid w:val="00CC5233"/>
    <w:rsid w:val="00CC5DE6"/>
    <w:rsid w:val="00CC6E4E"/>
    <w:rsid w:val="00CC6FE8"/>
    <w:rsid w:val="00CC7202"/>
    <w:rsid w:val="00CD101A"/>
    <w:rsid w:val="00CD2808"/>
    <w:rsid w:val="00CD28BF"/>
    <w:rsid w:val="00CD4092"/>
    <w:rsid w:val="00CD4A20"/>
    <w:rsid w:val="00CD50A1"/>
    <w:rsid w:val="00CD519E"/>
    <w:rsid w:val="00CE0C4F"/>
    <w:rsid w:val="00CE30EA"/>
    <w:rsid w:val="00CF048A"/>
    <w:rsid w:val="00CF155A"/>
    <w:rsid w:val="00CF2947"/>
    <w:rsid w:val="00CF3C7B"/>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1B45"/>
    <w:rsid w:val="00D32719"/>
    <w:rsid w:val="00D33333"/>
    <w:rsid w:val="00D352A2"/>
    <w:rsid w:val="00D35718"/>
    <w:rsid w:val="00D4162B"/>
    <w:rsid w:val="00D4514F"/>
    <w:rsid w:val="00D451E2"/>
    <w:rsid w:val="00D45E89"/>
    <w:rsid w:val="00D45E8D"/>
    <w:rsid w:val="00D466AE"/>
    <w:rsid w:val="00D4734F"/>
    <w:rsid w:val="00D51BF3"/>
    <w:rsid w:val="00D66846"/>
    <w:rsid w:val="00D675FB"/>
    <w:rsid w:val="00D71F25"/>
    <w:rsid w:val="00D72A9C"/>
    <w:rsid w:val="00D77031"/>
    <w:rsid w:val="00D82894"/>
    <w:rsid w:val="00D84941"/>
    <w:rsid w:val="00D84FA1"/>
    <w:rsid w:val="00D851F0"/>
    <w:rsid w:val="00D86DB7"/>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C66BB"/>
    <w:rsid w:val="00DD00FF"/>
    <w:rsid w:val="00DD0619"/>
    <w:rsid w:val="00DD07FB"/>
    <w:rsid w:val="00DD25C6"/>
    <w:rsid w:val="00DD30FE"/>
    <w:rsid w:val="00DD4FE5"/>
    <w:rsid w:val="00DD54B0"/>
    <w:rsid w:val="00DD57EE"/>
    <w:rsid w:val="00DD6BCC"/>
    <w:rsid w:val="00DD7E72"/>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5E66"/>
    <w:rsid w:val="00E56800"/>
    <w:rsid w:val="00E60C63"/>
    <w:rsid w:val="00E62FF9"/>
    <w:rsid w:val="00E635D6"/>
    <w:rsid w:val="00E639BC"/>
    <w:rsid w:val="00E66118"/>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67"/>
    <w:rsid w:val="00EB31ED"/>
    <w:rsid w:val="00EB5EDF"/>
    <w:rsid w:val="00EB60FE"/>
    <w:rsid w:val="00EB74DB"/>
    <w:rsid w:val="00EB7CE2"/>
    <w:rsid w:val="00EC0A95"/>
    <w:rsid w:val="00EC5359"/>
    <w:rsid w:val="00EC562A"/>
    <w:rsid w:val="00ED067A"/>
    <w:rsid w:val="00ED2B50"/>
    <w:rsid w:val="00EE0350"/>
    <w:rsid w:val="00EE0719"/>
    <w:rsid w:val="00EE0E80"/>
    <w:rsid w:val="00EE613F"/>
    <w:rsid w:val="00EE7295"/>
    <w:rsid w:val="00EE7869"/>
    <w:rsid w:val="00EF054A"/>
    <w:rsid w:val="00EF3235"/>
    <w:rsid w:val="00EF7E72"/>
    <w:rsid w:val="00F02B5F"/>
    <w:rsid w:val="00F06D37"/>
    <w:rsid w:val="00F07B9D"/>
    <w:rsid w:val="00F11586"/>
    <w:rsid w:val="00F1183B"/>
    <w:rsid w:val="00F11C9F"/>
    <w:rsid w:val="00F12263"/>
    <w:rsid w:val="00F1409D"/>
    <w:rsid w:val="00F14214"/>
    <w:rsid w:val="00F157A9"/>
    <w:rsid w:val="00F16F00"/>
    <w:rsid w:val="00F25BB6"/>
    <w:rsid w:val="00F26B7E"/>
    <w:rsid w:val="00F27A3B"/>
    <w:rsid w:val="00F3309E"/>
    <w:rsid w:val="00F33817"/>
    <w:rsid w:val="00F37CD8"/>
    <w:rsid w:val="00F420D5"/>
    <w:rsid w:val="00F451EA"/>
    <w:rsid w:val="00F45447"/>
    <w:rsid w:val="00F456C6"/>
    <w:rsid w:val="00F4577B"/>
    <w:rsid w:val="00F46496"/>
    <w:rsid w:val="00F474D0"/>
    <w:rsid w:val="00F50179"/>
    <w:rsid w:val="00F515EE"/>
    <w:rsid w:val="00F5171C"/>
    <w:rsid w:val="00F56511"/>
    <w:rsid w:val="00F6194E"/>
    <w:rsid w:val="00F623AC"/>
    <w:rsid w:val="00F6412A"/>
    <w:rsid w:val="00F65893"/>
    <w:rsid w:val="00F66A4A"/>
    <w:rsid w:val="00F66DA5"/>
    <w:rsid w:val="00F71E22"/>
    <w:rsid w:val="00F72142"/>
    <w:rsid w:val="00F72AE7"/>
    <w:rsid w:val="00F763C6"/>
    <w:rsid w:val="00F833BA"/>
    <w:rsid w:val="00F84FD0"/>
    <w:rsid w:val="00F859A8"/>
    <w:rsid w:val="00F86D87"/>
    <w:rsid w:val="00F9108B"/>
    <w:rsid w:val="00F91349"/>
    <w:rsid w:val="00F93A8A"/>
    <w:rsid w:val="00F95248"/>
    <w:rsid w:val="00F956A9"/>
    <w:rsid w:val="00F963ED"/>
    <w:rsid w:val="00F966CF"/>
    <w:rsid w:val="00F96828"/>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923"/>
    <w:rsid w:val="00FE7E79"/>
    <w:rsid w:val="00FF3E7D"/>
    <w:rsid w:val="00FF5B99"/>
    <w:rsid w:val="00FF730C"/>
    <w:rsid w:val="00FF73F4"/>
    <w:rsid w:val="00FF7CE4"/>
    <w:rsid w:val="00FF7E39"/>
    <w:rsid w:val="023F6D6A"/>
    <w:rsid w:val="03052A9C"/>
    <w:rsid w:val="04B17E60"/>
    <w:rsid w:val="07F64174"/>
    <w:rsid w:val="0C9C61B2"/>
    <w:rsid w:val="0D14079E"/>
    <w:rsid w:val="0D660D80"/>
    <w:rsid w:val="0E9C04B8"/>
    <w:rsid w:val="10773CE4"/>
    <w:rsid w:val="1AF355E5"/>
    <w:rsid w:val="29D331FF"/>
    <w:rsid w:val="2AAD7CD9"/>
    <w:rsid w:val="2E8C39F0"/>
    <w:rsid w:val="2F0B5729"/>
    <w:rsid w:val="319201FF"/>
    <w:rsid w:val="34DE101E"/>
    <w:rsid w:val="3A265682"/>
    <w:rsid w:val="3B167AE7"/>
    <w:rsid w:val="3F2823C6"/>
    <w:rsid w:val="4232385C"/>
    <w:rsid w:val="42F243DD"/>
    <w:rsid w:val="47644C7E"/>
    <w:rsid w:val="50377342"/>
    <w:rsid w:val="520E7D07"/>
    <w:rsid w:val="522F4152"/>
    <w:rsid w:val="541A1388"/>
    <w:rsid w:val="5E567BBA"/>
    <w:rsid w:val="627536F2"/>
    <w:rsid w:val="630D6B44"/>
    <w:rsid w:val="631E3926"/>
    <w:rsid w:val="670A5F60"/>
    <w:rsid w:val="6C2D6238"/>
    <w:rsid w:val="6F424202"/>
    <w:rsid w:val="726C5A47"/>
    <w:rsid w:val="762E7DFF"/>
    <w:rsid w:val="773561C1"/>
    <w:rsid w:val="7ADB0A43"/>
    <w:rsid w:val="7DBD41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uiPriority w:val="1"/>
  </w:style>
  <w:style w:type="table" w:default="1" w:styleId="27">
    <w:name w:val="Normal Table"/>
    <w:semiHidden/>
    <w:unhideWhenUsed/>
    <w:uiPriority w:val="99"/>
    <w:tblPr>
      <w:tblLayout w:type="fixed"/>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33"/>
    <w:semiHidden/>
    <w:unhideWhenUsed/>
    <w:qFormat/>
    <w:uiPriority w:val="99"/>
    <w:rPr>
      <w:rFonts w:ascii="宋体"/>
      <w:sz w:val="18"/>
      <w:szCs w:val="18"/>
    </w:rPr>
  </w:style>
  <w:style w:type="paragraph" w:styleId="14">
    <w:name w:val="Body Text"/>
    <w:basedOn w:val="1"/>
    <w:link w:val="87"/>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qFormat/>
    <w:uiPriority w:val="0"/>
    <w:rPr>
      <w:rFonts w:ascii="Times New Roman" w:hAnsi="Times New Roman" w:eastAsia="宋体" w:cs="Times New Roman"/>
      <w:b/>
      <w:bCs/>
      <w:kern w:val="44"/>
      <w:sz w:val="44"/>
      <w:szCs w:val="44"/>
    </w:rPr>
  </w:style>
  <w:style w:type="character" w:customStyle="1" w:styleId="36">
    <w:name w:val="标题 2 字符"/>
    <w:link w:val="3"/>
    <w:qFormat/>
    <w:uiPriority w:val="0"/>
    <w:rPr>
      <w:rFonts w:ascii="Arial" w:hAnsi="Arial" w:eastAsia="黑体" w:cs="Times New Roman"/>
      <w:b/>
      <w:bCs/>
      <w:sz w:val="32"/>
      <w:szCs w:val="32"/>
    </w:rPr>
  </w:style>
  <w:style w:type="character" w:customStyle="1" w:styleId="37">
    <w:name w:val="标题 3 字符"/>
    <w:link w:val="4"/>
    <w:qFormat/>
    <w:uiPriority w:val="0"/>
    <w:rPr>
      <w:rFonts w:ascii="Times New Roman" w:hAnsi="Times New Roman" w:eastAsia="宋体" w:cs="Times New Roman"/>
      <w:b/>
      <w:bCs/>
      <w:sz w:val="32"/>
      <w:szCs w:val="32"/>
    </w:rPr>
  </w:style>
  <w:style w:type="character" w:customStyle="1" w:styleId="38">
    <w:name w:val="标题 4 字符"/>
    <w:link w:val="5"/>
    <w:qFormat/>
    <w:uiPriority w:val="0"/>
    <w:rPr>
      <w:rFonts w:ascii="Arial" w:hAnsi="Arial" w:eastAsia="黑体" w:cs="Times New Roman"/>
      <w:b/>
      <w:bCs/>
      <w:sz w:val="28"/>
      <w:szCs w:val="28"/>
    </w:rPr>
  </w:style>
  <w:style w:type="character" w:customStyle="1" w:styleId="39">
    <w:name w:val="标题 5 字符"/>
    <w:link w:val="6"/>
    <w:qFormat/>
    <w:uiPriority w:val="0"/>
    <w:rPr>
      <w:rFonts w:ascii="Times New Roman" w:hAnsi="Times New Roman" w:eastAsia="宋体" w:cs="Times New Roman"/>
      <w:b/>
      <w:bCs/>
      <w:sz w:val="28"/>
      <w:szCs w:val="28"/>
    </w:rPr>
  </w:style>
  <w:style w:type="character" w:customStyle="1" w:styleId="40">
    <w:name w:val="标题 6 字符"/>
    <w:link w:val="7"/>
    <w:qFormat/>
    <w:uiPriority w:val="0"/>
    <w:rPr>
      <w:rFonts w:ascii="Arial" w:hAnsi="Arial" w:eastAsia="黑体" w:cs="Times New Roman"/>
      <w:b/>
      <w:bCs/>
      <w:sz w:val="24"/>
      <w:szCs w:val="24"/>
    </w:rPr>
  </w:style>
  <w:style w:type="character" w:customStyle="1" w:styleId="41">
    <w:name w:val="标题 7 字符"/>
    <w:link w:val="8"/>
    <w:qFormat/>
    <w:uiPriority w:val="0"/>
    <w:rPr>
      <w:rFonts w:ascii="Times New Roman" w:hAnsi="Times New Roman" w:eastAsia="宋体" w:cs="Times New Roman"/>
      <w:b/>
      <w:bCs/>
      <w:sz w:val="24"/>
      <w:szCs w:val="24"/>
    </w:rPr>
  </w:style>
  <w:style w:type="character" w:customStyle="1" w:styleId="42">
    <w:name w:val="标题 8 字符"/>
    <w:link w:val="9"/>
    <w:qFormat/>
    <w:uiPriority w:val="0"/>
    <w:rPr>
      <w:rFonts w:ascii="Arial" w:hAnsi="Arial" w:eastAsia="黑体" w:cs="Times New Roman"/>
      <w:sz w:val="24"/>
      <w:szCs w:val="24"/>
    </w:rPr>
  </w:style>
  <w:style w:type="character" w:customStyle="1" w:styleId="43">
    <w:name w:val="标题 9 字符"/>
    <w:link w:val="10"/>
    <w:qFormat/>
    <w:uiPriority w:val="0"/>
    <w:rPr>
      <w:rFonts w:ascii="Arial" w:hAnsi="Arial" w:eastAsia="黑体" w:cs="Times New Roman"/>
      <w:szCs w:val="21"/>
    </w:rPr>
  </w:style>
  <w:style w:type="character" w:customStyle="1" w:styleId="44">
    <w:name w:val="页眉 字符"/>
    <w:link w:val="19"/>
    <w:qFormat/>
    <w:uiPriority w:val="99"/>
    <w:rPr>
      <w:rFonts w:ascii="Times New Roman" w:hAnsi="Times New Roman" w:eastAsia="宋体" w:cs="Times New Roman"/>
      <w:sz w:val="18"/>
      <w:szCs w:val="18"/>
    </w:rPr>
  </w:style>
  <w:style w:type="character" w:customStyle="1" w:styleId="45">
    <w:name w:val="页脚 字符"/>
    <w:link w:val="18"/>
    <w:qFormat/>
    <w:uiPriority w:val="99"/>
    <w:rPr>
      <w:rFonts w:ascii="宋体" w:hAnsi="Times New Roman" w:eastAsia="宋体" w:cs="Times New Roman"/>
      <w:sz w:val="18"/>
      <w:szCs w:val="18"/>
    </w:rPr>
  </w:style>
  <w:style w:type="character" w:customStyle="1" w:styleId="46">
    <w:name w:val="批注框文本 字符"/>
    <w:link w:val="17"/>
    <w:semiHidden/>
    <w:qFormat/>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rPr>
  </w:style>
  <w:style w:type="character" w:customStyle="1" w:styleId="49">
    <w:name w:val="标题 字符"/>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1"/>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4"/>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2"/>
    <w:semiHidden/>
    <w:qFormat/>
    <w:uiPriority w:val="0"/>
    <w:rPr>
      <w:rFonts w:ascii="宋体" w:hAnsi="Times New Roman" w:eastAsia="宋体" w:cs="Times New Roman"/>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tabs>
        <w:tab w:val="left" w:pos="851"/>
        <w:tab w:val="left" w:pos="1276"/>
      </w:tabs>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3"/>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4"/>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5"/>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6"/>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7"/>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9"/>
      </w:numPr>
      <w:tabs>
        <w:tab w:val="left" w:pos="851"/>
      </w:tabs>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9"/>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vAnchor="page" w:hAnchor="page" w:x="1419" w:y="14097"/>
    </w:pPr>
  </w:style>
  <w:style w:type="paragraph" w:customStyle="1" w:styleId="195">
    <w:name w:val="其他实施日期"/>
    <w:basedOn w:val="155"/>
    <w:qFormat/>
    <w:uiPriority w:val="0"/>
    <w:pPr>
      <w:framePr w:w="3997" w:h="471" w:hRule="exact" w:vSpace="181" w:vAnchor="page" w:hAnchor="page" w:x="7089" w:y="14097"/>
    </w:pPr>
  </w:style>
  <w:style w:type="paragraph" w:customStyle="1" w:styleId="196">
    <w:name w:val="标准文件_文件编号"/>
    <w:basedOn w:val="57"/>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framePr/>
      <w:spacing w:before="57"/>
    </w:pPr>
    <w:rPr>
      <w:sz w:val="21"/>
    </w:rPr>
  </w:style>
  <w:style w:type="paragraph" w:customStyle="1" w:styleId="198">
    <w:name w:val="标准文件_文件名称"/>
    <w:basedOn w:val="57"/>
    <w:next w:val="57"/>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next w:val="57"/>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段"/>
    <w:link w:val="23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2">
    <w:name w:val="段 Char"/>
    <w:link w:val="231"/>
    <w:qFormat/>
    <w:uiPriority w:val="0"/>
    <w:rPr>
      <w:rFonts w:ascii="宋体" w:hAnsi="Times New Roman"/>
      <w:sz w:val="21"/>
    </w:rPr>
  </w:style>
  <w:style w:type="character" w:customStyle="1" w:styleId="233">
    <w:name w:val="文档结构图 字符"/>
    <w:basedOn w:val="29"/>
    <w:link w:val="13"/>
    <w:semiHidden/>
    <w:qFormat/>
    <w:uiPriority w:val="99"/>
    <w:rPr>
      <w:rFonts w:ascii="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1" Type="http://schemas.openxmlformats.org/officeDocument/2006/relationships/glossaryDocument" Target="glossary/document.xml"/><Relationship Id="rId40" Type="http://schemas.openxmlformats.org/officeDocument/2006/relationships/fontTable" Target="fontTable.xml"/><Relationship Id="rId4" Type="http://schemas.openxmlformats.org/officeDocument/2006/relationships/header" Target="header2.xml"/><Relationship Id="rId39" Type="http://schemas.openxmlformats.org/officeDocument/2006/relationships/customXml" Target="../customXml/item2.xml"/><Relationship Id="rId38" Type="http://schemas.openxmlformats.org/officeDocument/2006/relationships/numbering" Target="numbering.xml"/><Relationship Id="rId37" Type="http://schemas.openxmlformats.org/officeDocument/2006/relationships/customXml" Target="../customXml/item1.xml"/><Relationship Id="rId36" Type="http://schemas.openxmlformats.org/officeDocument/2006/relationships/image" Target="media/image5.jpeg"/><Relationship Id="rId35" Type="http://schemas.openxmlformats.org/officeDocument/2006/relationships/image" Target="media/image4.png"/><Relationship Id="rId34" Type="http://schemas.openxmlformats.org/officeDocument/2006/relationships/image" Target="media/image3.png"/><Relationship Id="rId33" Type="http://schemas.openxmlformats.org/officeDocument/2006/relationships/image" Target="media/image2.png"/><Relationship Id="rId32" Type="http://schemas.openxmlformats.org/officeDocument/2006/relationships/image" Target="media/image1.png"/><Relationship Id="rId31" Type="http://schemas.openxmlformats.org/officeDocument/2006/relationships/theme" Target="theme/theme1.xml"/><Relationship Id="rId30" Type="http://schemas.openxmlformats.org/officeDocument/2006/relationships/footer" Target="footer14.xml"/><Relationship Id="rId3" Type="http://schemas.openxmlformats.org/officeDocument/2006/relationships/header" Target="header1.xml"/><Relationship Id="rId29" Type="http://schemas.openxmlformats.org/officeDocument/2006/relationships/footer" Target="footer13.xml"/><Relationship Id="rId28" Type="http://schemas.openxmlformats.org/officeDocument/2006/relationships/header" Target="header14.xml"/><Relationship Id="rId27" Type="http://schemas.openxmlformats.org/officeDocument/2006/relationships/header" Target="header13.xml"/><Relationship Id="rId26" Type="http://schemas.openxmlformats.org/officeDocument/2006/relationships/footer" Target="footer12.xml"/><Relationship Id="rId25" Type="http://schemas.openxmlformats.org/officeDocument/2006/relationships/footer" Target="footer11.xml"/><Relationship Id="rId24" Type="http://schemas.openxmlformats.org/officeDocument/2006/relationships/header" Target="header12.xml"/><Relationship Id="rId23" Type="http://schemas.openxmlformats.org/officeDocument/2006/relationships/header" Target="header11.xml"/><Relationship Id="rId22" Type="http://schemas.openxmlformats.org/officeDocument/2006/relationships/footer" Target="footer10.xml"/><Relationship Id="rId21" Type="http://schemas.openxmlformats.org/officeDocument/2006/relationships/footer" Target="footer9.xml"/><Relationship Id="rId20" Type="http://schemas.openxmlformats.org/officeDocument/2006/relationships/header" Target="header10.xml"/><Relationship Id="rId2" Type="http://schemas.openxmlformats.org/officeDocument/2006/relationships/settings" Target="settings.xml"/><Relationship Id="rId19" Type="http://schemas.openxmlformats.org/officeDocument/2006/relationships/header" Target="header9.xml"/><Relationship Id="rId18" Type="http://schemas.openxmlformats.org/officeDocument/2006/relationships/footer" Target="footer8.xml"/><Relationship Id="rId17" Type="http://schemas.openxmlformats.org/officeDocument/2006/relationships/footer" Target="footer7.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E304B122E3B473CBAA93D7F4525F65B"/>
        <w:style w:val=""/>
        <w:category>
          <w:name w:val="常规"/>
          <w:gallery w:val="placeholder"/>
        </w:category>
        <w:types>
          <w:type w:val="bbPlcHdr"/>
        </w:types>
        <w:behaviors>
          <w:behavior w:val="content"/>
        </w:behaviors>
        <w:description w:val=""/>
        <w:guid w:val="{C19FFD68-51B0-41CF-9060-1F7EE3D134EC}"/>
      </w:docPartPr>
      <w:docPartBody>
        <w:p>
          <w:pPr>
            <w:pStyle w:val="5"/>
          </w:pPr>
          <w:r>
            <w:rPr>
              <w:rStyle w:val="4"/>
              <w:rFonts w:hint="eastAsia"/>
            </w:rPr>
            <w:t>单击或点击此处输入文字。</w:t>
          </w:r>
        </w:p>
      </w:docPartBody>
    </w:docPart>
    <w:docPart>
      <w:docPartPr>
        <w:name w:val="1DFCF63BFB014B4DB5EAD543FBB18DF0"/>
        <w:style w:val=""/>
        <w:category>
          <w:name w:val="常规"/>
          <w:gallery w:val="placeholder"/>
        </w:category>
        <w:types>
          <w:type w:val="bbPlcHdr"/>
        </w:types>
        <w:behaviors>
          <w:behavior w:val="content"/>
        </w:behaviors>
        <w:description w:val=""/>
        <w:guid w:val="{D67936F6-5D55-4FC4-9FBD-3E1883AFB38A}"/>
      </w:docPartPr>
      <w:docPartBody>
        <w:p>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8B5"/>
    <w:rsid w:val="00073C3F"/>
    <w:rsid w:val="00143EB1"/>
    <w:rsid w:val="001A214F"/>
    <w:rsid w:val="001E2B8A"/>
    <w:rsid w:val="001F155A"/>
    <w:rsid w:val="00273958"/>
    <w:rsid w:val="003C1B09"/>
    <w:rsid w:val="003D6696"/>
    <w:rsid w:val="00415344"/>
    <w:rsid w:val="00671F3A"/>
    <w:rsid w:val="00727C4E"/>
    <w:rsid w:val="00770274"/>
    <w:rsid w:val="007E1510"/>
    <w:rsid w:val="008D5556"/>
    <w:rsid w:val="0091743E"/>
    <w:rsid w:val="00935B53"/>
    <w:rsid w:val="009506FB"/>
    <w:rsid w:val="00962454"/>
    <w:rsid w:val="00997CB6"/>
    <w:rsid w:val="009E35B2"/>
    <w:rsid w:val="00A33775"/>
    <w:rsid w:val="00AC47E0"/>
    <w:rsid w:val="00AF3982"/>
    <w:rsid w:val="00BC68B5"/>
    <w:rsid w:val="00C06870"/>
    <w:rsid w:val="00C377E5"/>
    <w:rsid w:val="00C61037"/>
    <w:rsid w:val="00D066DF"/>
    <w:rsid w:val="00E07E76"/>
    <w:rsid w:val="00E22292"/>
    <w:rsid w:val="00EB4C4E"/>
    <w:rsid w:val="00ED3166"/>
    <w:rsid w:val="00F21B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E304B122E3B473CBAA93D7F4525F65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1DFCF63BFB014B4DB5EAD543FBB18DF0"/>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04AF8C-96F3-43D9-A366-9B53AC89EB21}">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11</Pages>
  <Words>1143</Words>
  <Characters>6521</Characters>
  <Lines>54</Lines>
  <Paragraphs>15</Paragraphs>
  <TotalTime>8</TotalTime>
  <ScaleCrop>false</ScaleCrop>
  <LinksUpToDate>false</LinksUpToDate>
  <CharactersWithSpaces>7649</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2021-09-08T02:16:00Z</dcterms:created>
  <dc:creator>许先国</dc:creator>
  <dc:description>&lt;config cover="true" show_menu="true" version="1.0.0" doctype="SDKXY"&gt;_x000d_
&lt;/config&gt;</dc:description>
  <cp:lastModifiedBy>Administrator</cp:lastModifiedBy>
  <cp:lastPrinted>2025-06-16T05:08:00Z</cp:lastPrinted>
  <dcterms:modified xsi:type="dcterms:W3CDTF">2025-07-21T00:47:52Z</dcterms:modified>
  <dc:title>团体标准</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2052-11.8.2.8276</vt:lpwstr>
  </property>
  <property fmtid="{D5CDD505-2E9C-101B-9397-08002B2CF9AE}" pid="15" name="DoublePage">
    <vt:lpwstr>true</vt:lpwstr>
  </property>
  <property fmtid="{D5CDD505-2E9C-101B-9397-08002B2CF9AE}" pid="16" name="ICV">
    <vt:lpwstr>59F3320293214DCD9789B2C35914F79D</vt:lpwstr>
  </property>
</Properties>
</file>